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29" w:rsidRPr="001D0629" w:rsidRDefault="001D0629" w:rsidP="001D0629">
      <w:pPr>
        <w:shd w:val="clear" w:color="auto" w:fill="FFFFFF"/>
        <w:spacing w:after="150" w:line="300" w:lineRule="atLeast"/>
        <w:jc w:val="center"/>
        <w:rPr>
          <w:rFonts w:ascii="Helvetica" w:eastAsia="Times New Roman" w:hAnsi="Helvetica" w:cs="Helvetica"/>
          <w:b/>
          <w:color w:val="333333"/>
          <w:sz w:val="44"/>
          <w:szCs w:val="21"/>
          <w:lang w:eastAsia="ru-RU"/>
        </w:rPr>
      </w:pPr>
      <w:r w:rsidRPr="00A11141">
        <w:rPr>
          <w:rFonts w:ascii="Helvetica" w:eastAsia="Times New Roman" w:hAnsi="Helvetica" w:cs="Helvetica"/>
          <w:b/>
          <w:bCs/>
          <w:color w:val="333333"/>
          <w:sz w:val="44"/>
          <w:lang w:eastAsia="ru-RU"/>
        </w:rPr>
        <w:t>СОБЛЮДЕНИЕ ТРЕБОВАНИЙ ПОЖАРНОЙ БЕЗОПАСНОСТИ В ЖИЛЫХ ДОМАХ</w:t>
      </w:r>
    </w:p>
    <w:p w:rsidR="001D0629" w:rsidRPr="001D0629" w:rsidRDefault="00A11141" w:rsidP="001D0629">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6729447"/>
            <wp:effectExtent l="19050" t="0" r="3175" b="0"/>
            <wp:docPr id="7" name="Рисунок 7" descr="G:\ппр\памятки\памятки-картинки\tra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пр\памятки\памятки-картинки\trava (1).jpg"/>
                    <pic:cNvPicPr>
                      <a:picLocks noChangeAspect="1" noChangeArrowheads="1"/>
                    </pic:cNvPicPr>
                  </pic:nvPicPr>
                  <pic:blipFill>
                    <a:blip r:embed="rId4" cstate="print"/>
                    <a:srcRect/>
                    <a:stretch>
                      <a:fillRect/>
                    </a:stretch>
                  </pic:blipFill>
                  <pic:spPr bwMode="auto">
                    <a:xfrm>
                      <a:off x="0" y="0"/>
                      <a:ext cx="5940425" cy="6729447"/>
                    </a:xfrm>
                    <a:prstGeom prst="rect">
                      <a:avLst/>
                    </a:prstGeom>
                    <a:noFill/>
                    <a:ln w="9525">
                      <a:noFill/>
                      <a:miter lim="800000"/>
                      <a:headEnd/>
                      <a:tailEnd/>
                    </a:ln>
                  </pic:spPr>
                </pic:pic>
              </a:graphicData>
            </a:graphic>
          </wp:inline>
        </w:drawing>
      </w:r>
      <w:r w:rsidR="001D0629" w:rsidRPr="001D0629">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b/>
          <w:bCs/>
          <w:i/>
          <w:iCs/>
          <w:color w:val="333333"/>
          <w:sz w:val="21"/>
          <w:lang w:eastAsia="ru-RU"/>
        </w:rPr>
        <w:t>Закон гласит:</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В жилых домах следует строго соблюдать свод требований, установленных Правилами противопожарного режима в Российской Федерации.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proofErr w:type="gramStart"/>
      <w:r w:rsidRPr="001D0629">
        <w:rPr>
          <w:rFonts w:ascii="Helvetica" w:eastAsia="Times New Roman" w:hAnsi="Helvetica" w:cs="Helvetica"/>
          <w:color w:val="333333"/>
          <w:sz w:val="21"/>
          <w:szCs w:val="21"/>
          <w:lang w:eastAsia="ru-RU"/>
        </w:rPr>
        <w:t xml:space="preserve">В соответствии со ст. 38 Федерального закона от 21.12.1994 № 69-ФЗ «О пожарной безопасности» ответственность за нарушение требований пожарной безопасности в </w:t>
      </w:r>
      <w:r w:rsidRPr="001D0629">
        <w:rPr>
          <w:rFonts w:ascii="Helvetica" w:eastAsia="Times New Roman" w:hAnsi="Helvetica" w:cs="Helvetica"/>
          <w:color w:val="333333"/>
          <w:sz w:val="21"/>
          <w:szCs w:val="21"/>
          <w:lang w:eastAsia="ru-RU"/>
        </w:rPr>
        <w:lastRenderedPageBreak/>
        <w:t>соответствии с действующим законодательством несут собственники имущества, лица, уполномоченные владеть, пользоваться или распоряжаться имуществом, и лица, в установленном порядке назначенные ответственными за обеспечение пожарной безопасности.</w:t>
      </w:r>
      <w:proofErr w:type="gramEnd"/>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На основании </w:t>
      </w:r>
      <w:proofErr w:type="gramStart"/>
      <w:r w:rsidRPr="001D0629">
        <w:rPr>
          <w:rFonts w:ascii="Helvetica" w:eastAsia="Times New Roman" w:hAnsi="Helvetica" w:cs="Helvetica"/>
          <w:color w:val="333333"/>
          <w:sz w:val="21"/>
          <w:szCs w:val="21"/>
          <w:lang w:eastAsia="ru-RU"/>
        </w:rPr>
        <w:t>ч</w:t>
      </w:r>
      <w:proofErr w:type="gramEnd"/>
      <w:r w:rsidRPr="001D0629">
        <w:rPr>
          <w:rFonts w:ascii="Helvetica" w:eastAsia="Times New Roman" w:hAnsi="Helvetica" w:cs="Helvetica"/>
          <w:color w:val="333333"/>
          <w:sz w:val="21"/>
          <w:szCs w:val="21"/>
          <w:lang w:eastAsia="ru-RU"/>
        </w:rPr>
        <w:t>. 1 ст.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b/>
          <w:bCs/>
          <w:i/>
          <w:iCs/>
          <w:color w:val="333333"/>
          <w:sz w:val="21"/>
          <w:lang w:eastAsia="ru-RU"/>
        </w:rPr>
        <w:t>В жилых домах запрещается: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1D0629">
        <w:rPr>
          <w:rFonts w:ascii="Helvetica" w:eastAsia="Times New Roman" w:hAnsi="Helvetica" w:cs="Helvetica"/>
          <w:color w:val="333333"/>
          <w:sz w:val="21"/>
          <w:szCs w:val="21"/>
          <w:lang w:eastAsia="ru-RU"/>
        </w:rPr>
        <w:t>пожаровзрывоопасные</w:t>
      </w:r>
      <w:proofErr w:type="spellEnd"/>
      <w:r w:rsidRPr="001D0629">
        <w:rPr>
          <w:rFonts w:ascii="Helvetica" w:eastAsia="Times New Roman" w:hAnsi="Helvetica" w:cs="Helvetica"/>
          <w:color w:val="333333"/>
          <w:sz w:val="21"/>
          <w:szCs w:val="21"/>
          <w:lang w:eastAsia="ru-RU"/>
        </w:rPr>
        <w:t xml:space="preserve"> вещества и материалы, кроме случаев, предусмотренных иными нормативными документами по пожарной безопасности;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размещать в лифтовых холлах кладовые, киоски, ларьки и другие подобные строения;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устраивать в подвалах и цокольных этажах мастерские, а также размещать иные хозяйственные помещения, если самостоятельного выхода из них нет или выход не изолирован противопожарными преградами от общих лестничных клеток;</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1D0629">
        <w:rPr>
          <w:rFonts w:ascii="Helvetica" w:eastAsia="Times New Roman" w:hAnsi="Helvetica" w:cs="Helvetica"/>
          <w:color w:val="333333"/>
          <w:sz w:val="21"/>
          <w:szCs w:val="21"/>
          <w:lang w:eastAsia="ru-RU"/>
        </w:rPr>
        <w:t>дымоудаления</w:t>
      </w:r>
      <w:proofErr w:type="spellEnd"/>
      <w:r w:rsidRPr="001D0629">
        <w:rPr>
          <w:rFonts w:ascii="Helvetica" w:eastAsia="Times New Roman" w:hAnsi="Helvetica" w:cs="Helvetica"/>
          <w:color w:val="333333"/>
          <w:sz w:val="21"/>
          <w:szCs w:val="21"/>
          <w:lang w:eastAsia="ru-RU"/>
        </w:rPr>
        <w:t>, системы оповещения и управления эвакуацией);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1D0629">
        <w:rPr>
          <w:rFonts w:ascii="Helvetica" w:eastAsia="Times New Roman" w:hAnsi="Helvetica" w:cs="Helvetica"/>
          <w:color w:val="333333"/>
          <w:sz w:val="21"/>
          <w:szCs w:val="21"/>
          <w:lang w:eastAsia="ru-RU"/>
        </w:rPr>
        <w:t>межбалконные</w:t>
      </w:r>
      <w:proofErr w:type="spellEnd"/>
      <w:r w:rsidRPr="001D0629">
        <w:rPr>
          <w:rFonts w:ascii="Helvetica" w:eastAsia="Times New Roman" w:hAnsi="Helvetica" w:cs="Helvetica"/>
          <w:color w:val="333333"/>
          <w:sz w:val="21"/>
          <w:szCs w:val="21"/>
          <w:lang w:eastAsia="ru-RU"/>
        </w:rPr>
        <w:t xml:space="preserve"> лестницы, заваривать и загромождать люки на балконах и лоджиях квартир;</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остеклять балконы, лоджии и галереи, ведущие к незадымляемым лестничным клеткам;</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устраивать на лестничных клетках и в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устанавливать на лестничных клетках внешние блоки кондиционеров</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lastRenderedPageBreak/>
        <w:t>• пользоваться электроутюгами, электроплитками, электрочайниками и другими электронагревательными приборами без устройств тепловой защиты, а также при отсутствии или неисправности терморегуляторов, предусмотренных конструкцией;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.пользоваться розетками, рубильниками, другими </w:t>
      </w:r>
      <w:proofErr w:type="spellStart"/>
      <w:r w:rsidRPr="001D0629">
        <w:rPr>
          <w:rFonts w:ascii="Helvetica" w:eastAsia="Times New Roman" w:hAnsi="Helvetica" w:cs="Helvetica"/>
          <w:color w:val="333333"/>
          <w:sz w:val="21"/>
          <w:szCs w:val="21"/>
          <w:lang w:eastAsia="ru-RU"/>
        </w:rPr>
        <w:t>электроустановочными</w:t>
      </w:r>
      <w:proofErr w:type="spellEnd"/>
      <w:r w:rsidRPr="001D0629">
        <w:rPr>
          <w:rFonts w:ascii="Helvetica" w:eastAsia="Times New Roman" w:hAnsi="Helvetica" w:cs="Helvetica"/>
          <w:color w:val="333333"/>
          <w:sz w:val="21"/>
          <w:szCs w:val="21"/>
          <w:lang w:eastAsia="ru-RU"/>
        </w:rPr>
        <w:t xml:space="preserve"> изделиями с повреждениями;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применять нестандартные (самодельные) электронагревательные приборы;</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оставлять без присмотра включенные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proofErr w:type="gramStart"/>
      <w:r w:rsidRPr="001D0629">
        <w:rPr>
          <w:rFonts w:ascii="Helvetica" w:eastAsia="Times New Roman" w:hAnsi="Helvetica" w:cs="Helvetica"/>
          <w:color w:val="333333"/>
          <w:sz w:val="21"/>
          <w:szCs w:val="21"/>
          <w:lang w:eastAsia="ru-RU"/>
        </w:rPr>
        <w:t xml:space="preserve">Согласно Постановлению Правительства РФ от 25.04.2012 № 390 «О противопожарном режиме»,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1D0629">
        <w:rPr>
          <w:rFonts w:ascii="Helvetica" w:eastAsia="Times New Roman" w:hAnsi="Helvetica" w:cs="Helvetica"/>
          <w:color w:val="333333"/>
          <w:sz w:val="21"/>
          <w:szCs w:val="21"/>
          <w:lang w:eastAsia="ru-RU"/>
        </w:rPr>
        <w:t>пожаровзрывоопасных</w:t>
      </w:r>
      <w:proofErr w:type="spellEnd"/>
      <w:r w:rsidRPr="001D0629">
        <w:rPr>
          <w:rFonts w:ascii="Helvetica" w:eastAsia="Times New Roman" w:hAnsi="Helvetica" w:cs="Helvetica"/>
          <w:color w:val="333333"/>
          <w:sz w:val="21"/>
          <w:szCs w:val="21"/>
          <w:lang w:eastAsia="ru-RU"/>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roofErr w:type="gramEnd"/>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proofErr w:type="gramStart"/>
      <w:r w:rsidRPr="001D0629">
        <w:rPr>
          <w:rFonts w:ascii="Helvetica" w:eastAsia="Times New Roman" w:hAnsi="Helvetica" w:cs="Helvetica"/>
          <w:color w:val="333333"/>
          <w:sz w:val="21"/>
          <w:szCs w:val="21"/>
          <w:lang w:eastAsia="ru-RU"/>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1D0629">
        <w:rPr>
          <w:rFonts w:ascii="Helvetica" w:eastAsia="Times New Roman" w:hAnsi="Helvetica" w:cs="Helvetica"/>
          <w:color w:val="333333"/>
          <w:sz w:val="21"/>
          <w:szCs w:val="21"/>
          <w:lang w:eastAsia="ru-RU"/>
        </w:rPr>
        <w:t xml:space="preserve"> в здание, цокольные и подвальные этажи.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D0629" w:rsidRPr="001D0629" w:rsidRDefault="001D0629" w:rsidP="001D0629">
      <w:pPr>
        <w:spacing w:before="300" w:after="300" w:line="240" w:lineRule="auto"/>
        <w:rPr>
          <w:rFonts w:ascii="Times New Roman" w:eastAsia="Times New Roman" w:hAnsi="Times New Roman" w:cs="Times New Roman"/>
          <w:sz w:val="24"/>
          <w:szCs w:val="24"/>
          <w:lang w:eastAsia="ru-RU"/>
        </w:rPr>
      </w:pPr>
      <w:r w:rsidRPr="001D0629">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ПОРЯДОК ИСПОЛЬЗОВАНИЯ ОТКРЫТОГО ОГНЯ</w:t>
      </w:r>
    </w:p>
    <w:p w:rsidR="001D0629" w:rsidRPr="001D0629" w:rsidRDefault="001D0629" w:rsidP="001D0629">
      <w:pPr>
        <w:spacing w:before="300" w:after="300" w:line="240" w:lineRule="auto"/>
        <w:rPr>
          <w:rFonts w:ascii="Times New Roman" w:eastAsia="Times New Roman" w:hAnsi="Times New Roman" w:cs="Times New Roman"/>
          <w:sz w:val="24"/>
          <w:szCs w:val="24"/>
          <w:lang w:eastAsia="ru-RU"/>
        </w:rPr>
      </w:pPr>
      <w:r w:rsidRPr="001D0629">
        <w:rPr>
          <w:rFonts w:ascii="Times New Roman" w:eastAsia="Times New Roman" w:hAnsi="Times New Roman" w:cs="Times New Roman"/>
          <w:sz w:val="24"/>
          <w:szCs w:val="24"/>
          <w:lang w:eastAsia="ru-RU"/>
        </w:rPr>
        <w:pict>
          <v:rect id="_x0000_i1027" style="width:0;height:1.5pt" o:hralign="center" o:hrstd="t" o:hrnoshade="t" o:hr="t" fillcolor="#333" stroked="f"/>
        </w:pict>
      </w:r>
    </w:p>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Территории населенных пунктов</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Выжигание сухой травянистой растительности на земельных участках населенных пунктов может производиться в безветренную погоду при условии, что:</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lastRenderedPageBreak/>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г) лица, участвующие в выжигании сухой травянистой растительности, обеспечены первичными средствами пожаротушения.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Кроме того, запрещается использовать противопожарные расстояния между зданиями, сооружениями и строениями для разведения костров и сжигания отходов и тары.</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Не допускается сжигать отходы и тару в местах, находящихся на расстоянии менее 50 метров от объектов.</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Запрещается на территории поселений,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1D0629">
        <w:rPr>
          <w:rFonts w:ascii="Helvetica" w:eastAsia="Times New Roman" w:hAnsi="Helvetica" w:cs="Helvetica"/>
          <w:color w:val="333333"/>
          <w:sz w:val="21"/>
          <w:szCs w:val="21"/>
          <w:lang w:eastAsia="ru-RU"/>
        </w:rPr>
        <w:t>высоту основан на</w:t>
      </w:r>
      <w:proofErr w:type="gramEnd"/>
      <w:r w:rsidRPr="001D0629">
        <w:rPr>
          <w:rFonts w:ascii="Helvetica" w:eastAsia="Times New Roman" w:hAnsi="Helvetica" w:cs="Helvetica"/>
          <w:color w:val="333333"/>
          <w:sz w:val="21"/>
          <w:szCs w:val="21"/>
          <w:lang w:eastAsia="ru-RU"/>
        </w:rPr>
        <w:t xml:space="preserve"> нагревании воздуха внутри конструкции с помощью открытого огня.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tbl>
      <w:tblPr>
        <w:tblW w:w="3270" w:type="dxa"/>
        <w:jc w:val="center"/>
        <w:shd w:val="clear" w:color="auto" w:fill="FFFFFF"/>
        <w:tblCellMar>
          <w:top w:w="15" w:type="dxa"/>
          <w:left w:w="15" w:type="dxa"/>
          <w:bottom w:w="15" w:type="dxa"/>
          <w:right w:w="15" w:type="dxa"/>
        </w:tblCellMar>
        <w:tblLook w:val="04A0"/>
      </w:tblPr>
      <w:tblGrid>
        <w:gridCol w:w="3270"/>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Земли сельскохозяйственного назначения, в том числе расположенные на них садоводческие некоммерческие и дачные объединения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Запрещается выжигание сухой травянистой растительности, стерни, пожнивных остатков на землях сельскохозяйственного назначения, разведение костров на полях.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Использование открытого огня и разведение костров на землях сельскохозяйственного назначения допускается при условии соблюдения отдельных требований пожарной безопасности: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Место использования открытого огня, в том числе для сжигания мусора должно быть выполнено в виде котлована (ямы, рва) не менее чем 0,3 метра глубиной и не более 1 метра в диаметре.</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Однако лучше при сжигании мусора использовать металлическую емкость объемом не более 1 куб. метра, при этом иметь в наличии металлический лист, позволяющий полностью закрыть указанную емкость сверху.</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lastRenderedPageBreak/>
        <w:t>При использовании открытого огня в металлической емкости указанные выше расстояния допускается уменьшать вдвое, при этом устройство противопожарной минерализованной полосы не требуется. Кроме того, рядом должны быть первичные средства пожаротушения, а также мобильное средство связи для вызова подразделения пожарной охраны.</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proofErr w:type="gramStart"/>
      <w:r w:rsidRPr="001D0629">
        <w:rPr>
          <w:rFonts w:ascii="Helvetica" w:eastAsia="Times New Roman" w:hAnsi="Helvetica" w:cs="Helvetica"/>
          <w:color w:val="333333"/>
          <w:sz w:val="21"/>
          <w:szCs w:val="21"/>
          <w:lang w:eastAsia="ru-RU"/>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tbl>
      <w:tblPr>
        <w:tblW w:w="2385" w:type="dxa"/>
        <w:jc w:val="center"/>
        <w:shd w:val="clear" w:color="auto" w:fill="FFFFFF"/>
        <w:tblCellMar>
          <w:top w:w="15" w:type="dxa"/>
          <w:left w:w="15" w:type="dxa"/>
          <w:bottom w:w="15" w:type="dxa"/>
          <w:right w:w="15" w:type="dxa"/>
        </w:tblCellMar>
        <w:tblLook w:val="04A0"/>
      </w:tblPr>
      <w:tblGrid>
        <w:gridCol w:w="2385"/>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Земли лесного фонда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В соответствии с Правилами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б) бросать горящие спички, окурки и горячую золу из курительных трубок, стекло (стеклянные бутылки, банки и др.);</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в) употреблять при охоте пыжи из горючих или тлеющих материалов;</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proofErr w:type="spellStart"/>
      <w:r w:rsidRPr="001D0629">
        <w:rPr>
          <w:rFonts w:ascii="Helvetica" w:eastAsia="Times New Roman" w:hAnsi="Helvetica" w:cs="Helvetica"/>
          <w:color w:val="333333"/>
          <w:sz w:val="21"/>
          <w:szCs w:val="21"/>
          <w:lang w:eastAsia="ru-RU"/>
        </w:rPr>
        <w:t>д</w:t>
      </w:r>
      <w:proofErr w:type="spellEnd"/>
      <w:r w:rsidRPr="001D0629">
        <w:rPr>
          <w:rFonts w:ascii="Helvetica" w:eastAsia="Times New Roman" w:hAnsi="Helvetica" w:cs="Helvetica"/>
          <w:color w:val="333333"/>
          <w:sz w:val="21"/>
          <w:szCs w:val="21"/>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е) выполнять работы с открытым огнем на торфяниках.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bl>
      <w:tblPr>
        <w:tblW w:w="0" w:type="auto"/>
        <w:jc w:val="center"/>
        <w:shd w:val="clear" w:color="auto" w:fill="FFFFFF"/>
        <w:tblCellMar>
          <w:top w:w="15" w:type="dxa"/>
          <w:left w:w="15" w:type="dxa"/>
          <w:bottom w:w="15" w:type="dxa"/>
          <w:right w:w="15" w:type="dxa"/>
        </w:tblCellMar>
        <w:tblLook w:val="04A0"/>
      </w:tblPr>
      <w:tblGrid>
        <w:gridCol w:w="36"/>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Применение открытого огня не допускается: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торфяных почвах;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при установлении на соответствующей территории особого противопожарного режима;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lastRenderedPageBreak/>
        <w:t>- под кронами деревьев хвойных пород;</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в емкости, стенки которой имеют огненный сквозной прогар;</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при скорости ветра, превышающей значение 10 метров в секунду.</w:t>
      </w:r>
    </w:p>
    <w:tbl>
      <w:tblPr>
        <w:tblW w:w="1365" w:type="dxa"/>
        <w:jc w:val="center"/>
        <w:shd w:val="clear" w:color="auto" w:fill="FFFFFF"/>
        <w:tblCellMar>
          <w:top w:w="15" w:type="dxa"/>
          <w:left w:w="15" w:type="dxa"/>
          <w:bottom w:w="15" w:type="dxa"/>
          <w:right w:w="15" w:type="dxa"/>
        </w:tblCellMar>
        <w:tblLook w:val="04A0"/>
      </w:tblPr>
      <w:tblGrid>
        <w:gridCol w:w="1365"/>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Ответственность за нарушение требований пожарной безопасности: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За нарушение вышеперечисленных требований законодательством Российской Федерации предусмотрена следующая ответственность:</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Кодекс Российской Федерации об административных правонарушениях.</w:t>
      </w:r>
    </w:p>
    <w:tbl>
      <w:tblPr>
        <w:tblW w:w="795" w:type="dxa"/>
        <w:jc w:val="center"/>
        <w:shd w:val="clear" w:color="auto" w:fill="FFFFFF"/>
        <w:tblCellMar>
          <w:top w:w="15" w:type="dxa"/>
          <w:left w:w="15" w:type="dxa"/>
          <w:bottom w:w="15" w:type="dxa"/>
          <w:right w:w="15" w:type="dxa"/>
        </w:tblCellMar>
        <w:tblLook w:val="04A0"/>
      </w:tblPr>
      <w:tblGrid>
        <w:gridCol w:w="795"/>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Статья 8.32. Нарушение правил пожарной безопасности в лесах</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1. Нарушение правил пожарной безопасности в лесах влечет предупреждение или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на граждан в размере от одной </w:t>
      </w:r>
      <w:proofErr w:type="gramStart"/>
      <w:r w:rsidRPr="001D0629">
        <w:rPr>
          <w:rFonts w:ascii="Helvetica" w:eastAsia="Times New Roman" w:hAnsi="Helvetica" w:cs="Helvetica"/>
          <w:color w:val="333333"/>
          <w:sz w:val="21"/>
          <w:szCs w:val="21"/>
          <w:lang w:eastAsia="ru-RU"/>
        </w:rPr>
        <w:t>тысячи пятисот</w:t>
      </w:r>
      <w:proofErr w:type="gramEnd"/>
      <w:r w:rsidRPr="001D0629">
        <w:rPr>
          <w:rFonts w:ascii="Helvetica" w:eastAsia="Times New Roman" w:hAnsi="Helvetica" w:cs="Helvetica"/>
          <w:color w:val="333333"/>
          <w:sz w:val="21"/>
          <w:szCs w:val="21"/>
          <w:lang w:eastAsia="ru-RU"/>
        </w:rPr>
        <w:t xml:space="preserve"> до трех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от десяти тысяч до двадцати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пятидесяти тысяч до двухсот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граждан в размере от трех тысяч до четырех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от пятнадцати тысяч до двадцати пяти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ста пятидесяти тысяч до двухсот пятидесяти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3. Нарушение правил пожарной безопасности в лесах в условиях особого противопожарного режима влечет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граждан в размере от четырех тысяч до пяти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от двадцати тысяч до сорока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трехсот тысяч до пятисот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4. 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граждан в размере пяти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пятидесяти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пятисот тысяч до одного миллиона рублей.</w:t>
      </w:r>
    </w:p>
    <w:tbl>
      <w:tblPr>
        <w:tblW w:w="1785" w:type="dxa"/>
        <w:jc w:val="center"/>
        <w:shd w:val="clear" w:color="auto" w:fill="FFFFFF"/>
        <w:tblCellMar>
          <w:top w:w="15" w:type="dxa"/>
          <w:left w:w="15" w:type="dxa"/>
          <w:bottom w:w="15" w:type="dxa"/>
          <w:right w:w="15" w:type="dxa"/>
        </w:tblCellMar>
        <w:tblLook w:val="04A0"/>
      </w:tblPr>
      <w:tblGrid>
        <w:gridCol w:w="1785"/>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Статья 20.4. Нарушение требований пожарной безопасности</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lastRenderedPageBreak/>
        <w:t xml:space="preserve">1. Нарушение требований пожарной безопасности, за исключением </w:t>
      </w:r>
      <w:proofErr w:type="gramStart"/>
      <w:r w:rsidRPr="001D0629">
        <w:rPr>
          <w:rFonts w:ascii="Helvetica" w:eastAsia="Times New Roman" w:hAnsi="Helvetica" w:cs="Helvetica"/>
          <w:color w:val="333333"/>
          <w:sz w:val="21"/>
          <w:szCs w:val="21"/>
          <w:lang w:eastAsia="ru-RU"/>
        </w:rPr>
        <w:t>случаев, предусмотренных статьёй 8.32 влечет</w:t>
      </w:r>
      <w:proofErr w:type="gramEnd"/>
      <w:r w:rsidRPr="001D0629">
        <w:rPr>
          <w:rFonts w:ascii="Helvetica" w:eastAsia="Times New Roman" w:hAnsi="Helvetica" w:cs="Helvetica"/>
          <w:color w:val="333333"/>
          <w:sz w:val="21"/>
          <w:szCs w:val="21"/>
          <w:lang w:eastAsia="ru-RU"/>
        </w:rPr>
        <w:t xml:space="preserve"> предупреждение или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 на граждан в размере от одной тысячи до одной </w:t>
      </w:r>
      <w:proofErr w:type="gramStart"/>
      <w:r w:rsidRPr="001D0629">
        <w:rPr>
          <w:rFonts w:ascii="Helvetica" w:eastAsia="Times New Roman" w:hAnsi="Helvetica" w:cs="Helvetica"/>
          <w:color w:val="333333"/>
          <w:sz w:val="21"/>
          <w:szCs w:val="21"/>
          <w:lang w:eastAsia="ru-RU"/>
        </w:rPr>
        <w:t>тысячи пятисот</w:t>
      </w:r>
      <w:proofErr w:type="gramEnd"/>
      <w:r w:rsidRPr="001D0629">
        <w:rPr>
          <w:rFonts w:ascii="Helvetica" w:eastAsia="Times New Roman" w:hAnsi="Helvetica" w:cs="Helvetica"/>
          <w:color w:val="333333"/>
          <w:sz w:val="21"/>
          <w:szCs w:val="21"/>
          <w:lang w:eastAsia="ru-RU"/>
        </w:rPr>
        <w:t xml:space="preserve">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от шести тысяч до пятнадцати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ста пятидесяти тысяч до двухсот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2. Те же действия, совершенные в условиях особого противопожарного режима влекут наложение административного штрафа:</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граждан в размере от двух тысяч до четырех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должностных лиц - от пятнадцати тысяч до тридцати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на юридических лиц - от четырехсот тысяч до пятисот тысяч рублей.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Уголовный кодекс Российской Федерации.</w:t>
      </w:r>
    </w:p>
    <w:tbl>
      <w:tblPr>
        <w:tblW w:w="1620" w:type="dxa"/>
        <w:jc w:val="center"/>
        <w:shd w:val="clear" w:color="auto" w:fill="FFFFFF"/>
        <w:tblCellMar>
          <w:top w:w="15" w:type="dxa"/>
          <w:left w:w="15" w:type="dxa"/>
          <w:bottom w:w="15" w:type="dxa"/>
          <w:right w:w="15" w:type="dxa"/>
        </w:tblCellMar>
        <w:tblLook w:val="04A0"/>
      </w:tblPr>
      <w:tblGrid>
        <w:gridCol w:w="1620"/>
      </w:tblGrid>
      <w:tr w:rsidR="001D0629" w:rsidRPr="001D0629" w:rsidTr="001D0629">
        <w:trPr>
          <w:jc w:val="center"/>
        </w:trPr>
        <w:tc>
          <w:tcPr>
            <w:tcW w:w="0" w:type="auto"/>
            <w:shd w:val="clear" w:color="auto" w:fill="FFFFFF"/>
            <w:vAlign w:val="center"/>
            <w:hideMark/>
          </w:tcPr>
          <w:p w:rsidR="001D0629" w:rsidRPr="001D0629" w:rsidRDefault="001D0629" w:rsidP="001D0629">
            <w:pPr>
              <w:spacing w:after="0" w:line="240" w:lineRule="auto"/>
              <w:rPr>
                <w:rFonts w:ascii="Helvetica" w:eastAsia="Times New Roman" w:hAnsi="Helvetica" w:cs="Helvetica"/>
                <w:color w:val="333333"/>
                <w:sz w:val="21"/>
                <w:szCs w:val="21"/>
                <w:lang w:eastAsia="ru-RU"/>
              </w:rPr>
            </w:pPr>
          </w:p>
        </w:tc>
      </w:tr>
    </w:tbl>
    <w:p w:rsidR="001D0629" w:rsidRPr="001D0629" w:rsidRDefault="001D0629" w:rsidP="001D0629">
      <w:pPr>
        <w:shd w:val="clear" w:color="auto" w:fill="FFFFFF"/>
        <w:spacing w:after="150" w:line="300" w:lineRule="atLeast"/>
        <w:jc w:val="center"/>
        <w:rPr>
          <w:rFonts w:ascii="Helvetica" w:eastAsia="Times New Roman" w:hAnsi="Helvetica" w:cs="Helvetica"/>
          <w:color w:val="333333"/>
          <w:sz w:val="21"/>
          <w:szCs w:val="21"/>
          <w:lang w:eastAsia="ru-RU"/>
        </w:rPr>
      </w:pPr>
      <w:r w:rsidRPr="001D0629">
        <w:rPr>
          <w:rFonts w:ascii="Helvetica" w:eastAsia="Times New Roman" w:hAnsi="Helvetica" w:cs="Helvetica"/>
          <w:b/>
          <w:bCs/>
          <w:color w:val="333333"/>
          <w:sz w:val="21"/>
          <w:lang w:eastAsia="ru-RU"/>
        </w:rPr>
        <w:t>Статья 261. Уничтожение или повреждение лесных насаждений</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1. </w:t>
      </w:r>
      <w:proofErr w:type="gramStart"/>
      <w:r w:rsidRPr="001D0629">
        <w:rPr>
          <w:rFonts w:ascii="Helvetica" w:eastAsia="Times New Roman" w:hAnsi="Helvetica" w:cs="Helvetica"/>
          <w:color w:val="333333"/>
          <w:sz w:val="21"/>
          <w:szCs w:val="21"/>
          <w:lang w:eastAsia="ru-RU"/>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Pr="001D0629">
        <w:rPr>
          <w:rFonts w:ascii="Helvetica" w:eastAsia="Times New Roman" w:hAnsi="Helvetica" w:cs="Helvetica"/>
          <w:color w:val="333333"/>
          <w:sz w:val="21"/>
          <w:szCs w:val="21"/>
          <w:lang w:eastAsia="ru-RU"/>
        </w:rPr>
        <w:t xml:space="preserve"> срок до двух лет, либо принудительными работами на срок до трех лет, либо лишением свободы на тот же срок.</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2. </w:t>
      </w:r>
      <w:proofErr w:type="gramStart"/>
      <w:r w:rsidRPr="001D0629">
        <w:rPr>
          <w:rFonts w:ascii="Helvetica" w:eastAsia="Times New Roman" w:hAnsi="Helvetica" w:cs="Helvetica"/>
          <w:color w:val="333333"/>
          <w:sz w:val="21"/>
          <w:szCs w:val="21"/>
          <w:lang w:eastAsia="ru-RU"/>
        </w:rPr>
        <w:t>Деяния, предусмотренные частью первой настоящей статьи, если они причинили крупный ущерб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1D0629">
        <w:rPr>
          <w:rFonts w:ascii="Helvetica" w:eastAsia="Times New Roman" w:hAnsi="Helvetica" w:cs="Helvetica"/>
          <w:color w:val="333333"/>
          <w:sz w:val="21"/>
          <w:szCs w:val="21"/>
          <w:lang w:eastAsia="ru-RU"/>
        </w:rPr>
        <w:t xml:space="preserve"> до четырех лет, либо лишением свободы на тот же срок.</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3. </w:t>
      </w:r>
      <w:proofErr w:type="gramStart"/>
      <w:r w:rsidRPr="001D0629">
        <w:rPr>
          <w:rFonts w:ascii="Helvetica" w:eastAsia="Times New Roman" w:hAnsi="Helvetica" w:cs="Helvetica"/>
          <w:color w:val="333333"/>
          <w:sz w:val="21"/>
          <w:szCs w:val="21"/>
          <w:lang w:eastAsia="ru-RU"/>
        </w:rPr>
        <w:t xml:space="preserve">Уничтожение или повреждение лесных насаждений и иных насаждений путем поджога, иным </w:t>
      </w:r>
      <w:proofErr w:type="spellStart"/>
      <w:r w:rsidRPr="001D0629">
        <w:rPr>
          <w:rFonts w:ascii="Helvetica" w:eastAsia="Times New Roman" w:hAnsi="Helvetica" w:cs="Helvetica"/>
          <w:color w:val="333333"/>
          <w:sz w:val="21"/>
          <w:szCs w:val="21"/>
          <w:lang w:eastAsia="ru-RU"/>
        </w:rPr>
        <w:t>общеопасным</w:t>
      </w:r>
      <w:proofErr w:type="spellEnd"/>
      <w:r w:rsidRPr="001D0629">
        <w:rPr>
          <w:rFonts w:ascii="Helvetica" w:eastAsia="Times New Roman" w:hAnsi="Helvetica" w:cs="Helvetica"/>
          <w:color w:val="333333"/>
          <w:sz w:val="21"/>
          <w:szCs w:val="21"/>
          <w:lang w:eastAsia="ru-RU"/>
        </w:rPr>
        <w:t xml:space="preserve"> способом либо в результате загрязнения или иного негативного воздействия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w:t>
      </w:r>
      <w:proofErr w:type="gramEnd"/>
      <w:r w:rsidRPr="001D0629">
        <w:rPr>
          <w:rFonts w:ascii="Helvetica" w:eastAsia="Times New Roman" w:hAnsi="Helvetica" w:cs="Helvetica"/>
          <w:color w:val="333333"/>
          <w:sz w:val="21"/>
          <w:szCs w:val="21"/>
          <w:lang w:eastAsia="ru-RU"/>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4. </w:t>
      </w:r>
      <w:proofErr w:type="gramStart"/>
      <w:r w:rsidRPr="001D0629">
        <w:rPr>
          <w:rFonts w:ascii="Helvetica" w:eastAsia="Times New Roman" w:hAnsi="Helvetica" w:cs="Helvetica"/>
          <w:color w:val="333333"/>
          <w:sz w:val="21"/>
          <w:szCs w:val="21"/>
          <w:lang w:eastAsia="ru-RU"/>
        </w:rPr>
        <w:t>Деяния, предусмотренные частью третьей настоящей статьи, если они причинили крупный ущерб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w:t>
      </w:r>
      <w:proofErr w:type="gramEnd"/>
      <w:r w:rsidRPr="001D0629">
        <w:rPr>
          <w:rFonts w:ascii="Helvetica" w:eastAsia="Times New Roman" w:hAnsi="Helvetica" w:cs="Helvetica"/>
          <w:color w:val="333333"/>
          <w:sz w:val="21"/>
          <w:szCs w:val="21"/>
          <w:lang w:eastAsia="ru-RU"/>
        </w:rPr>
        <w:t xml:space="preserve"> заработной платы или иного дохода осужденного за период от двух до трех лет или без такового.</w:t>
      </w:r>
    </w:p>
    <w:p w:rsidR="001D0629" w:rsidRPr="001D0629" w:rsidRDefault="001D0629" w:rsidP="001D0629">
      <w:pPr>
        <w:shd w:val="clear" w:color="auto" w:fill="FFFFFF"/>
        <w:spacing w:after="150" w:line="300" w:lineRule="atLeast"/>
        <w:jc w:val="both"/>
        <w:rPr>
          <w:rFonts w:ascii="Helvetica" w:eastAsia="Times New Roman" w:hAnsi="Helvetica" w:cs="Helvetica"/>
          <w:color w:val="333333"/>
          <w:sz w:val="21"/>
          <w:szCs w:val="21"/>
          <w:lang w:eastAsia="ru-RU"/>
        </w:rPr>
      </w:pPr>
      <w:r w:rsidRPr="001D0629">
        <w:rPr>
          <w:rFonts w:ascii="Helvetica" w:eastAsia="Times New Roman" w:hAnsi="Helvetica" w:cs="Helvetica"/>
          <w:color w:val="333333"/>
          <w:sz w:val="21"/>
          <w:szCs w:val="21"/>
          <w:lang w:eastAsia="ru-RU"/>
        </w:rPr>
        <w:t xml:space="preserve">Примечание. </w:t>
      </w:r>
      <w:proofErr w:type="gramStart"/>
      <w:r w:rsidRPr="001D0629">
        <w:rPr>
          <w:rFonts w:ascii="Helvetica" w:eastAsia="Times New Roman" w:hAnsi="Helvetica" w:cs="Helvetica"/>
          <w:color w:val="333333"/>
          <w:sz w:val="21"/>
          <w:szCs w:val="21"/>
          <w:lang w:eastAsia="ru-RU"/>
        </w:rPr>
        <w:t xml:space="preserve">Крупным ущербом в настоящей статье признается ущерб, если стоимость уничтоженных или поврежденных лесных насаждений и иных насаждений, исчисленная по </w:t>
      </w:r>
      <w:r w:rsidRPr="001D0629">
        <w:rPr>
          <w:rFonts w:ascii="Helvetica" w:eastAsia="Times New Roman" w:hAnsi="Helvetica" w:cs="Helvetica"/>
          <w:color w:val="333333"/>
          <w:sz w:val="21"/>
          <w:szCs w:val="21"/>
          <w:lang w:eastAsia="ru-RU"/>
        </w:rPr>
        <w:lastRenderedPageBreak/>
        <w:t>утвержденным Правительством Российской Федерации таксам и методике, превышает пятьдесят тысяч рублей.</w:t>
      </w:r>
      <w:proofErr w:type="gramEnd"/>
    </w:p>
    <w:p w:rsidR="002C5D8F" w:rsidRDefault="002C5D8F"/>
    <w:p w:rsidR="00BD3EF5" w:rsidRDefault="00BD3EF5"/>
    <w:p w:rsidR="00BD3EF5" w:rsidRDefault="00BD3EF5"/>
    <w:p w:rsidR="00BD3EF5" w:rsidRDefault="00BD3EF5">
      <w:r>
        <w:rPr>
          <w:noProof/>
          <w:lang w:eastAsia="ru-RU"/>
        </w:rPr>
        <w:drawing>
          <wp:inline distT="0" distB="0" distL="0" distR="0">
            <wp:extent cx="5940425" cy="3962613"/>
            <wp:effectExtent l="19050" t="0" r="3175" b="0"/>
            <wp:docPr id="8" name="Рисунок 8" descr="G:\ппр\памятки\памятки-картинки\sdfs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ппр\памятки\памятки-картинки\sdfsfd.jpg"/>
                    <pic:cNvPicPr>
                      <a:picLocks noChangeAspect="1" noChangeArrowheads="1"/>
                    </pic:cNvPicPr>
                  </pic:nvPicPr>
                  <pic:blipFill>
                    <a:blip r:embed="rId5" cstate="print"/>
                    <a:srcRect/>
                    <a:stretch>
                      <a:fillRect/>
                    </a:stretch>
                  </pic:blipFill>
                  <pic:spPr bwMode="auto">
                    <a:xfrm>
                      <a:off x="0" y="0"/>
                      <a:ext cx="5940425" cy="3962613"/>
                    </a:xfrm>
                    <a:prstGeom prst="rect">
                      <a:avLst/>
                    </a:prstGeom>
                    <a:noFill/>
                    <a:ln w="9525">
                      <a:noFill/>
                      <a:miter lim="800000"/>
                      <a:headEnd/>
                      <a:tailEnd/>
                    </a:ln>
                  </pic:spPr>
                </pic:pic>
              </a:graphicData>
            </a:graphic>
          </wp:inline>
        </w:drawing>
      </w:r>
    </w:p>
    <w:sectPr w:rsidR="00BD3EF5" w:rsidSect="002C5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629"/>
    <w:rsid w:val="001D0629"/>
    <w:rsid w:val="002C5D8F"/>
    <w:rsid w:val="00A11141"/>
    <w:rsid w:val="00BD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629"/>
    <w:rPr>
      <w:b/>
      <w:bCs/>
    </w:rPr>
  </w:style>
  <w:style w:type="character" w:styleId="a5">
    <w:name w:val="Emphasis"/>
    <w:basedOn w:val="a0"/>
    <w:uiPriority w:val="20"/>
    <w:qFormat/>
    <w:rsid w:val="001D0629"/>
    <w:rPr>
      <w:i/>
      <w:iCs/>
    </w:rPr>
  </w:style>
  <w:style w:type="paragraph" w:styleId="a6">
    <w:name w:val="Balloon Text"/>
    <w:basedOn w:val="a"/>
    <w:link w:val="a7"/>
    <w:uiPriority w:val="99"/>
    <w:semiHidden/>
    <w:unhideWhenUsed/>
    <w:rsid w:val="00A11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1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2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2548</Words>
  <Characters>14528</Characters>
  <Application>Microsoft Office Word</Application>
  <DocSecurity>0</DocSecurity>
  <Lines>121</Lines>
  <Paragraphs>34</Paragraphs>
  <ScaleCrop>false</ScaleCrop>
  <Company>Microsoft</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5</cp:revision>
  <dcterms:created xsi:type="dcterms:W3CDTF">2020-05-12T02:49:00Z</dcterms:created>
  <dcterms:modified xsi:type="dcterms:W3CDTF">2020-05-12T02:53:00Z</dcterms:modified>
</cp:coreProperties>
</file>