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B1" w:rsidRDefault="00C868B1" w:rsidP="00C868B1">
      <w:pPr>
        <w:rPr>
          <w:rFonts w:ascii="Times New Roman" w:eastAsia="Times New Roman" w:hAnsi="Times New Roman" w:cs="Times New Roman"/>
          <w:szCs w:val="20"/>
        </w:rPr>
      </w:pPr>
    </w:p>
    <w:p w:rsidR="00C868B1" w:rsidRPr="00714900" w:rsidRDefault="00537A8D" w:rsidP="00C868B1">
      <w:pPr>
        <w:rPr>
          <w:rFonts w:ascii="Times New Roman" w:eastAsia="Times New Roman" w:hAnsi="Times New Roman" w:cs="Times New Roman"/>
        </w:rPr>
      </w:pPr>
      <w:r>
        <w:rPr>
          <w:rFonts w:ascii="Times New Roman" w:eastAsia="Times New Roman" w:hAnsi="Times New Roman" w:cs="Times New Roman"/>
        </w:rPr>
        <w:t>«</w:t>
      </w:r>
      <w:r w:rsidR="00E30F1E">
        <w:rPr>
          <w:rFonts w:ascii="Times New Roman" w:eastAsia="Times New Roman" w:hAnsi="Times New Roman" w:cs="Times New Roman"/>
        </w:rPr>
        <w:t>02</w:t>
      </w:r>
      <w:r w:rsidR="007C4464">
        <w:rPr>
          <w:rFonts w:ascii="Times New Roman" w:eastAsia="Times New Roman" w:hAnsi="Times New Roman" w:cs="Times New Roman"/>
        </w:rPr>
        <w:t xml:space="preserve">» </w:t>
      </w:r>
      <w:r w:rsidR="00E30F1E">
        <w:rPr>
          <w:rFonts w:ascii="Times New Roman" w:eastAsia="Times New Roman" w:hAnsi="Times New Roman" w:cs="Times New Roman"/>
        </w:rPr>
        <w:t>марта</w:t>
      </w:r>
      <w:r w:rsidR="00C868B1" w:rsidRPr="00714900">
        <w:rPr>
          <w:rFonts w:ascii="Times New Roman" w:eastAsia="Times New Roman" w:hAnsi="Times New Roman" w:cs="Times New Roman"/>
        </w:rPr>
        <w:t xml:space="preserve"> 2021г.</w:t>
      </w:r>
    </w:p>
    <w:p w:rsidR="00334444" w:rsidRDefault="00334444"/>
    <w:p w:rsidR="001D302C" w:rsidRDefault="001D302C" w:rsidP="00C868B1">
      <w:pPr>
        <w:pStyle w:val="2"/>
        <w:shd w:val="clear" w:color="auto" w:fill="auto"/>
        <w:spacing w:line="317" w:lineRule="exact"/>
        <w:ind w:right="60"/>
        <w:jc w:val="center"/>
        <w:rPr>
          <w:sz w:val="24"/>
          <w:szCs w:val="24"/>
        </w:rPr>
      </w:pPr>
      <w:r>
        <w:rPr>
          <w:sz w:val="24"/>
          <w:szCs w:val="24"/>
        </w:rPr>
        <w:t>ИНФОРМАЦИЯ</w:t>
      </w:r>
    </w:p>
    <w:p w:rsidR="00C868B1" w:rsidRPr="00714900" w:rsidRDefault="00C868B1" w:rsidP="00C868B1">
      <w:pPr>
        <w:pStyle w:val="2"/>
        <w:shd w:val="clear" w:color="auto" w:fill="auto"/>
        <w:spacing w:line="317" w:lineRule="exact"/>
        <w:ind w:right="60"/>
        <w:jc w:val="center"/>
        <w:rPr>
          <w:sz w:val="24"/>
          <w:szCs w:val="24"/>
        </w:rPr>
      </w:pPr>
      <w:r w:rsidRPr="00714900">
        <w:rPr>
          <w:sz w:val="24"/>
          <w:szCs w:val="24"/>
        </w:rPr>
        <w:t>Отчет по исполнению</w:t>
      </w:r>
    </w:p>
    <w:p w:rsidR="00C868B1" w:rsidRPr="00714900" w:rsidRDefault="00C868B1" w:rsidP="00C868B1">
      <w:pPr>
        <w:pStyle w:val="2"/>
        <w:shd w:val="clear" w:color="auto" w:fill="auto"/>
        <w:spacing w:line="317" w:lineRule="exact"/>
        <w:ind w:right="60"/>
        <w:jc w:val="center"/>
        <w:rPr>
          <w:sz w:val="24"/>
          <w:szCs w:val="24"/>
        </w:rPr>
      </w:pPr>
      <w:r w:rsidRPr="00714900">
        <w:rPr>
          <w:sz w:val="24"/>
          <w:szCs w:val="24"/>
        </w:rPr>
        <w:t>дополнительных мероприятий по противодействию распространению наркомании</w:t>
      </w:r>
    </w:p>
    <w:p w:rsidR="00C868B1" w:rsidRPr="00714900" w:rsidRDefault="00C868B1" w:rsidP="00C868B1">
      <w:pPr>
        <w:pStyle w:val="2"/>
        <w:shd w:val="clear" w:color="auto" w:fill="auto"/>
        <w:spacing w:after="297" w:line="317" w:lineRule="exact"/>
        <w:ind w:right="60"/>
        <w:jc w:val="center"/>
        <w:rPr>
          <w:sz w:val="24"/>
          <w:szCs w:val="24"/>
        </w:rPr>
      </w:pPr>
      <w:r w:rsidRPr="00714900">
        <w:rPr>
          <w:sz w:val="24"/>
          <w:szCs w:val="24"/>
        </w:rPr>
        <w:t xml:space="preserve">на территории </w:t>
      </w:r>
      <w:proofErr w:type="spellStart"/>
      <w:r w:rsidR="00E30F1E" w:rsidRPr="00C54FBE">
        <w:rPr>
          <w:sz w:val="24"/>
          <w:szCs w:val="24"/>
        </w:rPr>
        <w:t>Шебертинского</w:t>
      </w:r>
      <w:proofErr w:type="spellEnd"/>
      <w:r w:rsidRPr="00C54FBE">
        <w:rPr>
          <w:sz w:val="24"/>
          <w:szCs w:val="24"/>
        </w:rPr>
        <w:t xml:space="preserve"> му</w:t>
      </w:r>
      <w:r w:rsidR="00537A8D" w:rsidRPr="00C54FBE">
        <w:rPr>
          <w:sz w:val="24"/>
          <w:szCs w:val="24"/>
        </w:rPr>
        <w:t>ниципального</w:t>
      </w:r>
      <w:r w:rsidR="00E30F1E">
        <w:rPr>
          <w:sz w:val="24"/>
          <w:szCs w:val="24"/>
        </w:rPr>
        <w:t xml:space="preserve"> образования на 2021</w:t>
      </w:r>
      <w:r w:rsidRPr="00714900">
        <w:rPr>
          <w:sz w:val="24"/>
          <w:szCs w:val="24"/>
        </w:rPr>
        <w:t xml:space="preserve"> год</w:t>
      </w:r>
    </w:p>
    <w:tbl>
      <w:tblPr>
        <w:tblStyle w:val="a4"/>
        <w:tblW w:w="0" w:type="auto"/>
        <w:tblLook w:val="04A0" w:firstRow="1" w:lastRow="0" w:firstColumn="1" w:lastColumn="0" w:noHBand="0" w:noVBand="1"/>
      </w:tblPr>
      <w:tblGrid>
        <w:gridCol w:w="704"/>
        <w:gridCol w:w="6576"/>
        <w:gridCol w:w="5756"/>
        <w:gridCol w:w="1537"/>
      </w:tblGrid>
      <w:tr w:rsidR="00C868B1" w:rsidRPr="00C868B1" w:rsidTr="002276DD">
        <w:tc>
          <w:tcPr>
            <w:tcW w:w="704" w:type="dxa"/>
          </w:tcPr>
          <w:p w:rsidR="00C868B1" w:rsidRPr="00C868B1" w:rsidRDefault="00C868B1" w:rsidP="00C868B1">
            <w:pPr>
              <w:jc w:val="both"/>
              <w:rPr>
                <w:sz w:val="22"/>
                <w:szCs w:val="22"/>
              </w:rPr>
            </w:pPr>
            <w:r w:rsidRPr="00C868B1">
              <w:rPr>
                <w:sz w:val="22"/>
                <w:szCs w:val="22"/>
              </w:rPr>
              <w:t>№ п/п</w:t>
            </w:r>
          </w:p>
        </w:tc>
        <w:tc>
          <w:tcPr>
            <w:tcW w:w="6576" w:type="dxa"/>
          </w:tcPr>
          <w:p w:rsidR="00C868B1" w:rsidRPr="00C868B1" w:rsidRDefault="00C868B1" w:rsidP="00C868B1">
            <w:pPr>
              <w:jc w:val="center"/>
              <w:rPr>
                <w:sz w:val="22"/>
                <w:szCs w:val="22"/>
              </w:rPr>
            </w:pPr>
            <w:r w:rsidRPr="00C868B1">
              <w:rPr>
                <w:rStyle w:val="1"/>
                <w:rFonts w:ascii="Courier New" w:eastAsia="Courier New" w:hAnsi="Courier New" w:cs="Courier New"/>
                <w:sz w:val="22"/>
                <w:szCs w:val="22"/>
              </w:rPr>
              <w:t>Мероприятие</w:t>
            </w:r>
          </w:p>
        </w:tc>
        <w:tc>
          <w:tcPr>
            <w:tcW w:w="5756" w:type="dxa"/>
          </w:tcPr>
          <w:p w:rsidR="00C868B1" w:rsidRPr="00C868B1" w:rsidRDefault="00C868B1" w:rsidP="00C868B1">
            <w:pPr>
              <w:jc w:val="center"/>
              <w:rPr>
                <w:sz w:val="22"/>
                <w:szCs w:val="22"/>
              </w:rPr>
            </w:pPr>
            <w:r>
              <w:rPr>
                <w:sz w:val="22"/>
                <w:szCs w:val="22"/>
              </w:rPr>
              <w:t>Исполнение</w:t>
            </w:r>
          </w:p>
        </w:tc>
        <w:tc>
          <w:tcPr>
            <w:tcW w:w="1524" w:type="dxa"/>
          </w:tcPr>
          <w:p w:rsidR="00C868B1" w:rsidRPr="00C868B1" w:rsidRDefault="00C868B1" w:rsidP="00C868B1">
            <w:pPr>
              <w:jc w:val="center"/>
              <w:rPr>
                <w:sz w:val="22"/>
                <w:szCs w:val="22"/>
              </w:rPr>
            </w:pPr>
            <w:r w:rsidRPr="00C868B1">
              <w:rPr>
                <w:rStyle w:val="1"/>
                <w:rFonts w:ascii="Courier New" w:eastAsia="Courier New" w:hAnsi="Courier New" w:cs="Courier New"/>
                <w:sz w:val="22"/>
                <w:szCs w:val="22"/>
              </w:rPr>
              <w:t>Примечание</w:t>
            </w:r>
          </w:p>
        </w:tc>
      </w:tr>
      <w:tr w:rsidR="00C868B1" w:rsidRPr="00C868B1" w:rsidTr="002276DD">
        <w:tc>
          <w:tcPr>
            <w:tcW w:w="704" w:type="dxa"/>
          </w:tcPr>
          <w:p w:rsidR="00C868B1" w:rsidRPr="00C868B1" w:rsidRDefault="00C868B1" w:rsidP="00C868B1">
            <w:pPr>
              <w:jc w:val="both"/>
              <w:rPr>
                <w:sz w:val="22"/>
                <w:szCs w:val="22"/>
              </w:rPr>
            </w:pPr>
            <w:r>
              <w:rPr>
                <w:sz w:val="22"/>
                <w:szCs w:val="22"/>
              </w:rPr>
              <w:t>1</w:t>
            </w:r>
          </w:p>
        </w:tc>
        <w:tc>
          <w:tcPr>
            <w:tcW w:w="6576" w:type="dxa"/>
          </w:tcPr>
          <w:p w:rsidR="00C868B1" w:rsidRPr="00C868B1" w:rsidRDefault="00C868B1" w:rsidP="00C868B1">
            <w:pPr>
              <w:jc w:val="center"/>
              <w:rPr>
                <w:sz w:val="22"/>
                <w:szCs w:val="22"/>
              </w:rPr>
            </w:pPr>
            <w:r>
              <w:rPr>
                <w:sz w:val="22"/>
                <w:szCs w:val="22"/>
              </w:rPr>
              <w:t>2</w:t>
            </w:r>
          </w:p>
        </w:tc>
        <w:tc>
          <w:tcPr>
            <w:tcW w:w="5756" w:type="dxa"/>
          </w:tcPr>
          <w:p w:rsidR="00C868B1" w:rsidRPr="00C868B1" w:rsidRDefault="00C868B1" w:rsidP="00C868B1">
            <w:pPr>
              <w:jc w:val="center"/>
              <w:rPr>
                <w:sz w:val="22"/>
                <w:szCs w:val="22"/>
              </w:rPr>
            </w:pPr>
            <w:r>
              <w:rPr>
                <w:sz w:val="22"/>
                <w:szCs w:val="22"/>
              </w:rPr>
              <w:t>3</w:t>
            </w:r>
          </w:p>
        </w:tc>
        <w:tc>
          <w:tcPr>
            <w:tcW w:w="1524" w:type="dxa"/>
          </w:tcPr>
          <w:p w:rsidR="00C868B1" w:rsidRPr="00C868B1" w:rsidRDefault="00C868B1" w:rsidP="00C868B1">
            <w:pPr>
              <w:jc w:val="center"/>
              <w:rPr>
                <w:sz w:val="22"/>
                <w:szCs w:val="22"/>
              </w:rPr>
            </w:pPr>
            <w:r>
              <w:rPr>
                <w:sz w:val="22"/>
                <w:szCs w:val="22"/>
              </w:rPr>
              <w:t>4</w:t>
            </w:r>
          </w:p>
        </w:tc>
      </w:tr>
      <w:tr w:rsidR="00C868B1" w:rsidRPr="00C868B1" w:rsidTr="008B0BF3">
        <w:tc>
          <w:tcPr>
            <w:tcW w:w="14560" w:type="dxa"/>
            <w:gridSpan w:val="4"/>
          </w:tcPr>
          <w:p w:rsidR="00C868B1" w:rsidRPr="00C868B1" w:rsidRDefault="00C868B1" w:rsidP="00C868B1">
            <w:pPr>
              <w:jc w:val="center"/>
              <w:rPr>
                <w:b/>
                <w:sz w:val="22"/>
                <w:szCs w:val="22"/>
              </w:rPr>
            </w:pPr>
            <w:r w:rsidRPr="00C868B1">
              <w:rPr>
                <w:b/>
                <w:sz w:val="22"/>
                <w:szCs w:val="22"/>
              </w:rPr>
              <w:t>Противодействие незаконному обороту наркотических средств на территории муниципального образования (организация работы по противодействию факторам, оказывающим влияние на наркотизацию населения «Геополитический», «Миграция из стран центрально-азиатского региона», «Наличие учреждений пенитенциарной системы» «Распространение новых видов наркотических средств» «Пересылка международных почтовых отправлений», «Организация сбыта наркотиков через сеть «Интернет», посредством номеров телефонов сотовой связи»)</w:t>
            </w:r>
          </w:p>
        </w:tc>
      </w:tr>
      <w:tr w:rsidR="00C868B1" w:rsidRPr="00C868B1" w:rsidTr="002276DD">
        <w:tc>
          <w:tcPr>
            <w:tcW w:w="704" w:type="dxa"/>
          </w:tcPr>
          <w:p w:rsidR="00C868B1" w:rsidRPr="00C868B1" w:rsidRDefault="00C868B1" w:rsidP="00C868B1">
            <w:pPr>
              <w:jc w:val="both"/>
              <w:rPr>
                <w:sz w:val="22"/>
                <w:szCs w:val="22"/>
              </w:rPr>
            </w:pPr>
            <w:r>
              <w:rPr>
                <w:sz w:val="22"/>
                <w:szCs w:val="22"/>
              </w:rPr>
              <w:t>1</w:t>
            </w:r>
          </w:p>
        </w:tc>
        <w:tc>
          <w:tcPr>
            <w:tcW w:w="6576" w:type="dxa"/>
          </w:tcPr>
          <w:p w:rsidR="00C868B1" w:rsidRPr="00C868B1" w:rsidRDefault="00C868B1" w:rsidP="00C868B1">
            <w:pPr>
              <w:jc w:val="both"/>
              <w:rPr>
                <w:sz w:val="22"/>
                <w:szCs w:val="22"/>
              </w:rPr>
            </w:pPr>
            <w:r w:rsidRPr="00C868B1">
              <w:rPr>
                <w:sz w:val="22"/>
                <w:szCs w:val="22"/>
              </w:rPr>
              <w:t>Организация социально-значимой деятельности детей, подростков и молодежи по месту жительства. Трудоустройство на период каникул.</w:t>
            </w:r>
          </w:p>
        </w:tc>
        <w:tc>
          <w:tcPr>
            <w:tcW w:w="5756" w:type="dxa"/>
          </w:tcPr>
          <w:p w:rsidR="00C868B1" w:rsidRPr="00C868B1" w:rsidRDefault="00C54FBE" w:rsidP="00C868B1">
            <w:pPr>
              <w:jc w:val="both"/>
              <w:rPr>
                <w:sz w:val="22"/>
                <w:szCs w:val="22"/>
              </w:rPr>
            </w:pPr>
            <w:r>
              <w:rPr>
                <w:sz w:val="22"/>
                <w:szCs w:val="22"/>
              </w:rPr>
              <w:t xml:space="preserve">В </w:t>
            </w:r>
            <w:r w:rsidR="007220DF">
              <w:rPr>
                <w:sz w:val="22"/>
                <w:szCs w:val="22"/>
              </w:rPr>
              <w:t>течение</w:t>
            </w:r>
            <w:r>
              <w:rPr>
                <w:sz w:val="22"/>
                <w:szCs w:val="22"/>
              </w:rPr>
              <w:t xml:space="preserve"> года</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Pr="00C868B1" w:rsidRDefault="00C868B1" w:rsidP="00C868B1">
            <w:pPr>
              <w:jc w:val="both"/>
              <w:rPr>
                <w:sz w:val="22"/>
                <w:szCs w:val="22"/>
              </w:rPr>
            </w:pPr>
            <w:r>
              <w:rPr>
                <w:sz w:val="22"/>
                <w:szCs w:val="22"/>
              </w:rPr>
              <w:t>2</w:t>
            </w:r>
          </w:p>
        </w:tc>
        <w:tc>
          <w:tcPr>
            <w:tcW w:w="6576" w:type="dxa"/>
          </w:tcPr>
          <w:p w:rsidR="00C868B1" w:rsidRPr="00C868B1" w:rsidRDefault="00C868B1" w:rsidP="00C868B1">
            <w:pPr>
              <w:jc w:val="both"/>
              <w:rPr>
                <w:sz w:val="22"/>
                <w:szCs w:val="22"/>
              </w:rPr>
            </w:pPr>
            <w:r w:rsidRPr="00C868B1">
              <w:rPr>
                <w:sz w:val="22"/>
                <w:szCs w:val="22"/>
              </w:rPr>
              <w:t>Организация и проведение мероприятий по профилактике межнациональных (межэтнических) конфликтов (проведение национально-культурных акций)</w:t>
            </w:r>
          </w:p>
        </w:tc>
        <w:tc>
          <w:tcPr>
            <w:tcW w:w="5756" w:type="dxa"/>
          </w:tcPr>
          <w:p w:rsidR="00C868B1" w:rsidRPr="00C868B1" w:rsidRDefault="00C54FBE" w:rsidP="00C54734">
            <w:pPr>
              <w:rPr>
                <w:sz w:val="22"/>
                <w:szCs w:val="22"/>
              </w:rPr>
            </w:pPr>
            <w:r>
              <w:rPr>
                <w:sz w:val="22"/>
                <w:szCs w:val="22"/>
              </w:rPr>
              <w:t>ежемесячно</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C54734" w:rsidP="00C868B1">
            <w:pPr>
              <w:jc w:val="both"/>
              <w:rPr>
                <w:sz w:val="22"/>
                <w:szCs w:val="22"/>
              </w:rPr>
            </w:pPr>
            <w:r>
              <w:rPr>
                <w:sz w:val="22"/>
                <w:szCs w:val="22"/>
              </w:rPr>
              <w:t>3</w:t>
            </w:r>
          </w:p>
        </w:tc>
        <w:tc>
          <w:tcPr>
            <w:tcW w:w="6576" w:type="dxa"/>
          </w:tcPr>
          <w:p w:rsidR="00C868B1" w:rsidRPr="00C868B1" w:rsidRDefault="00C868B1" w:rsidP="00C868B1">
            <w:pPr>
              <w:jc w:val="both"/>
              <w:rPr>
                <w:sz w:val="22"/>
                <w:szCs w:val="22"/>
              </w:rPr>
            </w:pPr>
            <w:r w:rsidRPr="00C868B1">
              <w:rPr>
                <w:sz w:val="22"/>
                <w:szCs w:val="22"/>
              </w:rPr>
              <w:t>Организация работы по проведению анкетирования населения в рамках комплексного социологического исследования по выявлению уровня наркотизации общества и отношения населения муниципального образования «Нижнеудинский район» к проблемам наркомании</w:t>
            </w:r>
          </w:p>
        </w:tc>
        <w:tc>
          <w:tcPr>
            <w:tcW w:w="5756" w:type="dxa"/>
          </w:tcPr>
          <w:p w:rsidR="00C868B1" w:rsidRPr="00C868B1" w:rsidRDefault="00C54FBE" w:rsidP="00C868B1">
            <w:pPr>
              <w:jc w:val="both"/>
              <w:rPr>
                <w:sz w:val="22"/>
                <w:szCs w:val="22"/>
              </w:rPr>
            </w:pPr>
            <w:r>
              <w:rPr>
                <w:sz w:val="22"/>
                <w:szCs w:val="22"/>
              </w:rPr>
              <w:t>По графику</w:t>
            </w:r>
          </w:p>
        </w:tc>
        <w:tc>
          <w:tcPr>
            <w:tcW w:w="1524" w:type="dxa"/>
          </w:tcPr>
          <w:p w:rsidR="00C868B1" w:rsidRPr="00C868B1" w:rsidRDefault="00C868B1" w:rsidP="00C868B1">
            <w:pPr>
              <w:jc w:val="both"/>
              <w:rPr>
                <w:sz w:val="22"/>
                <w:szCs w:val="22"/>
              </w:rPr>
            </w:pPr>
          </w:p>
        </w:tc>
      </w:tr>
      <w:tr w:rsidR="00C868B1" w:rsidRPr="00C868B1" w:rsidTr="002007DE">
        <w:tc>
          <w:tcPr>
            <w:tcW w:w="14560" w:type="dxa"/>
            <w:gridSpan w:val="4"/>
          </w:tcPr>
          <w:p w:rsidR="00C868B1" w:rsidRPr="00C868B1" w:rsidRDefault="00C868B1" w:rsidP="00C868B1">
            <w:pPr>
              <w:jc w:val="center"/>
              <w:rPr>
                <w:sz w:val="22"/>
                <w:szCs w:val="22"/>
              </w:rPr>
            </w:pPr>
            <w:r w:rsidRPr="00C868B1">
              <w:rPr>
                <w:rStyle w:val="a5"/>
                <w:rFonts w:ascii="Courier New" w:eastAsia="Courier New" w:hAnsi="Courier New" w:cs="Courier New"/>
                <w:sz w:val="22"/>
                <w:szCs w:val="22"/>
              </w:rPr>
              <w:t xml:space="preserve">Устранение причин и условий, способствующих совершению правонарушений, связанных со сбытом и потреблением наркотических средств </w:t>
            </w:r>
            <w:proofErr w:type="spellStart"/>
            <w:r w:rsidRPr="00C868B1">
              <w:rPr>
                <w:rStyle w:val="a5"/>
                <w:rFonts w:ascii="Courier New" w:eastAsia="Courier New" w:hAnsi="Courier New" w:cs="Courier New"/>
                <w:sz w:val="22"/>
                <w:szCs w:val="22"/>
              </w:rPr>
              <w:t>каннабисной</w:t>
            </w:r>
            <w:proofErr w:type="spellEnd"/>
            <w:r w:rsidRPr="00C868B1">
              <w:rPr>
                <w:rStyle w:val="a5"/>
                <w:rFonts w:ascii="Courier New" w:eastAsia="Courier New" w:hAnsi="Courier New" w:cs="Courier New"/>
                <w:sz w:val="22"/>
                <w:szCs w:val="22"/>
              </w:rPr>
              <w:t xml:space="preserve"> группы (организация работы по противодействию фактору, оказывающему влияние на наркотизацию населения «Доступность сырья для изготовления наркотиков </w:t>
            </w:r>
            <w:proofErr w:type="spellStart"/>
            <w:r w:rsidRPr="00C868B1">
              <w:rPr>
                <w:rStyle w:val="a5"/>
                <w:rFonts w:ascii="Courier New" w:eastAsia="Courier New" w:hAnsi="Courier New" w:cs="Courier New"/>
                <w:sz w:val="22"/>
                <w:szCs w:val="22"/>
              </w:rPr>
              <w:t>каннабисной</w:t>
            </w:r>
            <w:proofErr w:type="spellEnd"/>
            <w:r w:rsidRPr="00C868B1">
              <w:rPr>
                <w:rStyle w:val="a5"/>
                <w:rFonts w:ascii="Courier New" w:eastAsia="Courier New" w:hAnsi="Courier New" w:cs="Courier New"/>
                <w:sz w:val="22"/>
                <w:szCs w:val="22"/>
              </w:rPr>
              <w:t xml:space="preserve"> группы»).</w:t>
            </w:r>
          </w:p>
        </w:tc>
      </w:tr>
      <w:tr w:rsidR="00C868B1" w:rsidRPr="00C868B1" w:rsidTr="002276DD">
        <w:tc>
          <w:tcPr>
            <w:tcW w:w="704" w:type="dxa"/>
          </w:tcPr>
          <w:p w:rsidR="00C868B1" w:rsidRDefault="00C868B1" w:rsidP="00C868B1">
            <w:pPr>
              <w:jc w:val="both"/>
              <w:rPr>
                <w:sz w:val="22"/>
                <w:szCs w:val="22"/>
              </w:rPr>
            </w:pPr>
            <w:r>
              <w:rPr>
                <w:sz w:val="22"/>
                <w:szCs w:val="22"/>
              </w:rPr>
              <w:t>1</w:t>
            </w:r>
          </w:p>
        </w:tc>
        <w:tc>
          <w:tcPr>
            <w:tcW w:w="6576" w:type="dxa"/>
          </w:tcPr>
          <w:p w:rsidR="00C868B1" w:rsidRPr="00C868B1" w:rsidRDefault="00CD0038" w:rsidP="00C868B1">
            <w:pPr>
              <w:jc w:val="both"/>
              <w:rPr>
                <w:sz w:val="22"/>
                <w:szCs w:val="22"/>
              </w:rPr>
            </w:pPr>
            <w:r w:rsidRPr="00CD0038">
              <w:rPr>
                <w:sz w:val="22"/>
                <w:szCs w:val="22"/>
              </w:rPr>
              <w:t>Проведение мероприятий, направленных на своевременное выявление и уничтожение дикорастущей конопли, согласно утвержденному плану-графику на 2020 год.</w:t>
            </w:r>
          </w:p>
        </w:tc>
        <w:tc>
          <w:tcPr>
            <w:tcW w:w="5756" w:type="dxa"/>
          </w:tcPr>
          <w:p w:rsidR="00676149" w:rsidRPr="00C868B1" w:rsidRDefault="00C54FBE" w:rsidP="00676149">
            <w:pPr>
              <w:jc w:val="both"/>
              <w:rPr>
                <w:sz w:val="22"/>
                <w:szCs w:val="22"/>
              </w:rPr>
            </w:pPr>
            <w:r>
              <w:rPr>
                <w:sz w:val="22"/>
                <w:szCs w:val="22"/>
              </w:rPr>
              <w:t>ежеквартально</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C868B1" w:rsidP="00C868B1">
            <w:pPr>
              <w:jc w:val="both"/>
              <w:rPr>
                <w:sz w:val="22"/>
                <w:szCs w:val="22"/>
              </w:rPr>
            </w:pPr>
            <w:r>
              <w:rPr>
                <w:sz w:val="22"/>
                <w:szCs w:val="22"/>
              </w:rPr>
              <w:t>2</w:t>
            </w:r>
          </w:p>
        </w:tc>
        <w:tc>
          <w:tcPr>
            <w:tcW w:w="6576" w:type="dxa"/>
          </w:tcPr>
          <w:p w:rsidR="00C868B1" w:rsidRPr="00C868B1" w:rsidRDefault="00CD0038" w:rsidP="00C868B1">
            <w:pPr>
              <w:jc w:val="both"/>
              <w:rPr>
                <w:sz w:val="22"/>
                <w:szCs w:val="22"/>
              </w:rPr>
            </w:pPr>
            <w:r w:rsidRPr="00CD0038">
              <w:rPr>
                <w:sz w:val="22"/>
                <w:szCs w:val="22"/>
              </w:rPr>
              <w:t xml:space="preserve">Информирование населения об ответственности за </w:t>
            </w:r>
            <w:r w:rsidRPr="00CD0038">
              <w:rPr>
                <w:sz w:val="22"/>
                <w:szCs w:val="22"/>
              </w:rPr>
              <w:lastRenderedPageBreak/>
              <w:t>выращивание (культивирование) растений, содержащих психотропные и наркотические вещества; за непринятие мер по уничтожению дикорастущей конопли через СМИ, распространение средств печатной продукции.</w:t>
            </w:r>
          </w:p>
        </w:tc>
        <w:tc>
          <w:tcPr>
            <w:tcW w:w="5756" w:type="dxa"/>
          </w:tcPr>
          <w:p w:rsidR="00C868B1" w:rsidRPr="00C868B1" w:rsidRDefault="00C54FBE" w:rsidP="00C868B1">
            <w:pPr>
              <w:jc w:val="both"/>
              <w:rPr>
                <w:sz w:val="22"/>
                <w:szCs w:val="22"/>
              </w:rPr>
            </w:pPr>
            <w:r>
              <w:rPr>
                <w:sz w:val="22"/>
                <w:szCs w:val="22"/>
              </w:rPr>
              <w:lastRenderedPageBreak/>
              <w:t>ежемесячно</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175B78" w:rsidP="00C868B1">
            <w:pPr>
              <w:jc w:val="both"/>
              <w:rPr>
                <w:sz w:val="22"/>
                <w:szCs w:val="22"/>
              </w:rPr>
            </w:pPr>
            <w:r>
              <w:rPr>
                <w:sz w:val="22"/>
                <w:szCs w:val="22"/>
              </w:rPr>
              <w:lastRenderedPageBreak/>
              <w:t>3</w:t>
            </w:r>
          </w:p>
        </w:tc>
        <w:tc>
          <w:tcPr>
            <w:tcW w:w="6576" w:type="dxa"/>
          </w:tcPr>
          <w:p w:rsidR="00C868B1" w:rsidRPr="00C868B1" w:rsidRDefault="00CD0038" w:rsidP="00C868B1">
            <w:pPr>
              <w:jc w:val="both"/>
              <w:rPr>
                <w:sz w:val="22"/>
                <w:szCs w:val="22"/>
              </w:rPr>
            </w:pPr>
            <w:r w:rsidRPr="00CD0038">
              <w:rPr>
                <w:sz w:val="22"/>
                <w:szCs w:val="22"/>
              </w:rPr>
              <w:t xml:space="preserve">Организовать обеспечение в приобретении химических средств уничтожения </w:t>
            </w:r>
            <w:proofErr w:type="spellStart"/>
            <w:r w:rsidRPr="00CD0038">
              <w:rPr>
                <w:sz w:val="22"/>
                <w:szCs w:val="22"/>
              </w:rPr>
              <w:t>наркосодержащих</w:t>
            </w:r>
            <w:proofErr w:type="spellEnd"/>
            <w:r w:rsidRPr="00CD0038">
              <w:rPr>
                <w:sz w:val="22"/>
                <w:szCs w:val="22"/>
              </w:rPr>
              <w:t xml:space="preserve"> растений, в соответствии с представленными заявками от глав муниципальных образований входящих в состав муниципального образования «Нижнеудинский район».</w:t>
            </w:r>
          </w:p>
        </w:tc>
        <w:tc>
          <w:tcPr>
            <w:tcW w:w="5756" w:type="dxa"/>
          </w:tcPr>
          <w:p w:rsidR="00C868B1" w:rsidRPr="00C868B1" w:rsidRDefault="00C54FBE" w:rsidP="00175B78">
            <w:pPr>
              <w:jc w:val="both"/>
              <w:rPr>
                <w:sz w:val="22"/>
                <w:szCs w:val="22"/>
              </w:rPr>
            </w:pPr>
            <w:r>
              <w:rPr>
                <w:sz w:val="22"/>
                <w:szCs w:val="22"/>
              </w:rPr>
              <w:t>Май-июль</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0F2C5D" w:rsidP="00C868B1">
            <w:pPr>
              <w:jc w:val="both"/>
              <w:rPr>
                <w:sz w:val="22"/>
                <w:szCs w:val="22"/>
              </w:rPr>
            </w:pPr>
            <w:r>
              <w:rPr>
                <w:sz w:val="22"/>
                <w:szCs w:val="22"/>
              </w:rPr>
              <w:t>4</w:t>
            </w:r>
          </w:p>
        </w:tc>
        <w:tc>
          <w:tcPr>
            <w:tcW w:w="6576" w:type="dxa"/>
          </w:tcPr>
          <w:p w:rsidR="00C868B1" w:rsidRPr="00C868B1" w:rsidRDefault="00CD0038" w:rsidP="00C868B1">
            <w:pPr>
              <w:jc w:val="both"/>
              <w:rPr>
                <w:sz w:val="22"/>
                <w:szCs w:val="22"/>
              </w:rPr>
            </w:pPr>
            <w:r w:rsidRPr="00CD0038">
              <w:rPr>
                <w:sz w:val="22"/>
                <w:szCs w:val="22"/>
              </w:rPr>
              <w:t>Проведение мониторинга и анализа работы проведенной в 2020 году по выявлению и уничтожению дикорастущей конопли на территории муниципального образования, и выработать меры по повышению эффективности деятельности в данном направлении в 2021 году</w:t>
            </w:r>
            <w:r>
              <w:rPr>
                <w:sz w:val="22"/>
                <w:szCs w:val="22"/>
              </w:rPr>
              <w:t>.</w:t>
            </w:r>
          </w:p>
        </w:tc>
        <w:tc>
          <w:tcPr>
            <w:tcW w:w="5756" w:type="dxa"/>
          </w:tcPr>
          <w:p w:rsidR="00F03EDB" w:rsidRPr="00C868B1" w:rsidRDefault="00C54FBE" w:rsidP="00F03EDB">
            <w:pPr>
              <w:jc w:val="both"/>
              <w:rPr>
                <w:sz w:val="22"/>
                <w:szCs w:val="22"/>
              </w:rPr>
            </w:pPr>
            <w:r>
              <w:rPr>
                <w:sz w:val="22"/>
                <w:szCs w:val="22"/>
              </w:rPr>
              <w:t>Май-</w:t>
            </w:r>
            <w:r w:rsidR="007220DF">
              <w:rPr>
                <w:sz w:val="22"/>
                <w:szCs w:val="22"/>
              </w:rPr>
              <w:t>июль</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0F2C5D" w:rsidP="00C868B1">
            <w:pPr>
              <w:jc w:val="both"/>
              <w:rPr>
                <w:sz w:val="22"/>
                <w:szCs w:val="22"/>
              </w:rPr>
            </w:pPr>
            <w:r>
              <w:rPr>
                <w:sz w:val="22"/>
                <w:szCs w:val="22"/>
              </w:rPr>
              <w:t>5</w:t>
            </w:r>
          </w:p>
        </w:tc>
        <w:tc>
          <w:tcPr>
            <w:tcW w:w="6576" w:type="dxa"/>
          </w:tcPr>
          <w:p w:rsidR="00C868B1" w:rsidRPr="00C868B1" w:rsidRDefault="00CD0038" w:rsidP="00C868B1">
            <w:pPr>
              <w:jc w:val="both"/>
              <w:rPr>
                <w:sz w:val="22"/>
                <w:szCs w:val="22"/>
              </w:rPr>
            </w:pPr>
            <w:r w:rsidRPr="00CD0038">
              <w:rPr>
                <w:sz w:val="22"/>
                <w:szCs w:val="22"/>
              </w:rPr>
              <w:t>Организовать работу по информированию населения о законодательной ответственности за употребление, хранение и сбыт наркотических средств</w:t>
            </w:r>
          </w:p>
        </w:tc>
        <w:tc>
          <w:tcPr>
            <w:tcW w:w="5756" w:type="dxa"/>
          </w:tcPr>
          <w:p w:rsidR="00C868B1" w:rsidRPr="00C868B1" w:rsidRDefault="00C54FBE" w:rsidP="00C868B1">
            <w:pPr>
              <w:jc w:val="both"/>
              <w:rPr>
                <w:sz w:val="22"/>
                <w:szCs w:val="22"/>
              </w:rPr>
            </w:pPr>
            <w:r>
              <w:rPr>
                <w:sz w:val="22"/>
                <w:szCs w:val="22"/>
              </w:rPr>
              <w:t>ежемесячно</w:t>
            </w:r>
          </w:p>
        </w:tc>
        <w:tc>
          <w:tcPr>
            <w:tcW w:w="1524" w:type="dxa"/>
          </w:tcPr>
          <w:p w:rsidR="00C868B1" w:rsidRPr="00C868B1" w:rsidRDefault="00C868B1" w:rsidP="00C868B1">
            <w:pPr>
              <w:jc w:val="both"/>
              <w:rPr>
                <w:sz w:val="22"/>
                <w:szCs w:val="22"/>
              </w:rPr>
            </w:pPr>
          </w:p>
        </w:tc>
      </w:tr>
      <w:tr w:rsidR="00BF7733" w:rsidRPr="00C868B1" w:rsidTr="00E05138">
        <w:tc>
          <w:tcPr>
            <w:tcW w:w="14560" w:type="dxa"/>
            <w:gridSpan w:val="4"/>
          </w:tcPr>
          <w:p w:rsidR="00BF7733" w:rsidRPr="00BF7733" w:rsidRDefault="00BF7733" w:rsidP="00BF7733">
            <w:pPr>
              <w:jc w:val="center"/>
              <w:rPr>
                <w:sz w:val="22"/>
                <w:szCs w:val="22"/>
              </w:rPr>
            </w:pPr>
            <w:r w:rsidRPr="00BF7733">
              <w:rPr>
                <w:rStyle w:val="a5"/>
                <w:rFonts w:ascii="Courier New" w:eastAsia="Courier New" w:hAnsi="Courier New" w:cs="Courier New"/>
                <w:sz w:val="22"/>
                <w:szCs w:val="22"/>
              </w:rPr>
              <w:t>Повышение эффективности работы по профилактике наркомании (организация работы по противодействию факторам, оказывающим влияние на наркотизацию населения «Молодежная субкультура», «Социальные факторы», «Экономическая нестабильность в регионе и ее влияние на социальные процессы»)</w:t>
            </w:r>
          </w:p>
        </w:tc>
      </w:tr>
      <w:tr w:rsidR="00C868B1" w:rsidRPr="00C868B1" w:rsidTr="002276DD">
        <w:tc>
          <w:tcPr>
            <w:tcW w:w="704" w:type="dxa"/>
          </w:tcPr>
          <w:p w:rsidR="00C868B1" w:rsidRDefault="00BF7733" w:rsidP="00C868B1">
            <w:pPr>
              <w:jc w:val="both"/>
              <w:rPr>
                <w:sz w:val="22"/>
                <w:szCs w:val="22"/>
              </w:rPr>
            </w:pPr>
            <w:r>
              <w:rPr>
                <w:sz w:val="22"/>
                <w:szCs w:val="22"/>
              </w:rPr>
              <w:t>1</w:t>
            </w:r>
          </w:p>
        </w:tc>
        <w:tc>
          <w:tcPr>
            <w:tcW w:w="6576" w:type="dxa"/>
          </w:tcPr>
          <w:p w:rsidR="00C868B1" w:rsidRPr="00C868B1" w:rsidRDefault="00BF7733" w:rsidP="00C868B1">
            <w:pPr>
              <w:jc w:val="both"/>
              <w:rPr>
                <w:sz w:val="22"/>
                <w:szCs w:val="22"/>
              </w:rPr>
            </w:pPr>
            <w:r w:rsidRPr="00BF7733">
              <w:rPr>
                <w:sz w:val="22"/>
                <w:szCs w:val="22"/>
              </w:rPr>
              <w:t xml:space="preserve">Организация и проведение мероприятий по профилактике социально негативных явлений среди учащихся образовательных организаций </w:t>
            </w:r>
            <w:proofErr w:type="spellStart"/>
            <w:r w:rsidRPr="00BF7733">
              <w:rPr>
                <w:sz w:val="22"/>
                <w:szCs w:val="22"/>
              </w:rPr>
              <w:t>Нижнеудинского</w:t>
            </w:r>
            <w:proofErr w:type="spellEnd"/>
            <w:r w:rsidRPr="00BF7733">
              <w:rPr>
                <w:sz w:val="22"/>
                <w:szCs w:val="22"/>
              </w:rPr>
              <w:t xml:space="preserve"> района.</w:t>
            </w:r>
          </w:p>
        </w:tc>
        <w:tc>
          <w:tcPr>
            <w:tcW w:w="5756" w:type="dxa"/>
          </w:tcPr>
          <w:p w:rsidR="00C868B1" w:rsidRPr="00C868B1" w:rsidRDefault="00C54FBE" w:rsidP="006052EC">
            <w:pPr>
              <w:jc w:val="both"/>
              <w:rPr>
                <w:sz w:val="22"/>
                <w:szCs w:val="22"/>
              </w:rPr>
            </w:pPr>
            <w:r>
              <w:rPr>
                <w:sz w:val="22"/>
                <w:szCs w:val="22"/>
              </w:rPr>
              <w:t>ежеквартально</w:t>
            </w:r>
          </w:p>
        </w:tc>
        <w:tc>
          <w:tcPr>
            <w:tcW w:w="1524" w:type="dxa"/>
          </w:tcPr>
          <w:p w:rsidR="00C868B1" w:rsidRPr="00C868B1" w:rsidRDefault="00C868B1" w:rsidP="00C868B1">
            <w:pPr>
              <w:jc w:val="both"/>
              <w:rPr>
                <w:sz w:val="22"/>
                <w:szCs w:val="22"/>
              </w:rPr>
            </w:pPr>
          </w:p>
        </w:tc>
      </w:tr>
      <w:tr w:rsidR="00BF7733" w:rsidRPr="00C868B1" w:rsidTr="00165358">
        <w:tc>
          <w:tcPr>
            <w:tcW w:w="14560" w:type="dxa"/>
            <w:gridSpan w:val="4"/>
          </w:tcPr>
          <w:p w:rsidR="00BF7733" w:rsidRPr="00BF7733" w:rsidRDefault="00BF7733" w:rsidP="00BF7733">
            <w:pPr>
              <w:jc w:val="center"/>
              <w:rPr>
                <w:b/>
                <w:sz w:val="22"/>
                <w:szCs w:val="22"/>
              </w:rPr>
            </w:pPr>
            <w:r w:rsidRPr="00BF7733">
              <w:rPr>
                <w:b/>
                <w:sz w:val="22"/>
                <w:szCs w:val="22"/>
              </w:rPr>
              <w:t>Противодействие распространению на территории муниципального образования синтетических наркотиков, противодействие вовлечению в потребление синтетических наркотиков населения муниципального образования (организация работы по противодействию факторам, оказывающим влияние на наркотизацию населения «Организация сбыта наркотиков через сеть «Интернет», посредством номеров телефонов сотовой связи», «Распространение новых видов наркотических средств»)</w:t>
            </w:r>
          </w:p>
        </w:tc>
      </w:tr>
      <w:tr w:rsidR="00C868B1" w:rsidRPr="00C868B1" w:rsidTr="002276DD">
        <w:tc>
          <w:tcPr>
            <w:tcW w:w="704" w:type="dxa"/>
          </w:tcPr>
          <w:p w:rsidR="00C868B1" w:rsidRDefault="002276DD" w:rsidP="00C868B1">
            <w:pPr>
              <w:jc w:val="both"/>
              <w:rPr>
                <w:sz w:val="22"/>
                <w:szCs w:val="22"/>
              </w:rPr>
            </w:pPr>
            <w:r>
              <w:rPr>
                <w:sz w:val="22"/>
                <w:szCs w:val="22"/>
              </w:rPr>
              <w:t>1</w:t>
            </w:r>
          </w:p>
        </w:tc>
        <w:tc>
          <w:tcPr>
            <w:tcW w:w="6576" w:type="dxa"/>
          </w:tcPr>
          <w:p w:rsidR="00C868B1" w:rsidRPr="00C868B1" w:rsidRDefault="00BF7733" w:rsidP="00C868B1">
            <w:pPr>
              <w:jc w:val="both"/>
              <w:rPr>
                <w:sz w:val="22"/>
                <w:szCs w:val="22"/>
              </w:rPr>
            </w:pPr>
            <w:r w:rsidRPr="00BF7733">
              <w:rPr>
                <w:sz w:val="22"/>
                <w:szCs w:val="22"/>
              </w:rPr>
              <w:t xml:space="preserve">Организация рейдов с целью выявления и незамедлительного уничтожения надписей, содержащих информацию о продаже синтетических наркотических средств (курительные смеси, </w:t>
            </w:r>
            <w:proofErr w:type="spellStart"/>
            <w:r w:rsidRPr="00BF7733">
              <w:rPr>
                <w:sz w:val="22"/>
                <w:szCs w:val="22"/>
              </w:rPr>
              <w:t>спайсы</w:t>
            </w:r>
            <w:proofErr w:type="spellEnd"/>
            <w:r w:rsidRPr="00BF7733">
              <w:rPr>
                <w:sz w:val="22"/>
                <w:szCs w:val="22"/>
              </w:rPr>
              <w:t xml:space="preserve">, </w:t>
            </w:r>
            <w:proofErr w:type="spellStart"/>
            <w:r w:rsidRPr="00BF7733">
              <w:rPr>
                <w:sz w:val="22"/>
                <w:szCs w:val="22"/>
              </w:rPr>
              <w:t>миксы</w:t>
            </w:r>
            <w:proofErr w:type="spellEnd"/>
            <w:r w:rsidRPr="00BF7733">
              <w:rPr>
                <w:sz w:val="22"/>
                <w:szCs w:val="22"/>
              </w:rPr>
              <w:t>, соли и т.д.).</w:t>
            </w:r>
          </w:p>
        </w:tc>
        <w:tc>
          <w:tcPr>
            <w:tcW w:w="5756" w:type="dxa"/>
          </w:tcPr>
          <w:p w:rsidR="00C868B1" w:rsidRPr="00C868B1" w:rsidRDefault="00C54FBE" w:rsidP="00C868B1">
            <w:pPr>
              <w:jc w:val="both"/>
              <w:rPr>
                <w:sz w:val="22"/>
                <w:szCs w:val="22"/>
              </w:rPr>
            </w:pPr>
            <w:r>
              <w:rPr>
                <w:sz w:val="22"/>
                <w:szCs w:val="22"/>
              </w:rPr>
              <w:t xml:space="preserve">В течение года </w:t>
            </w:r>
          </w:p>
        </w:tc>
        <w:tc>
          <w:tcPr>
            <w:tcW w:w="1524" w:type="dxa"/>
          </w:tcPr>
          <w:p w:rsidR="00C868B1" w:rsidRPr="00C868B1" w:rsidRDefault="00C868B1" w:rsidP="00C868B1">
            <w:pPr>
              <w:jc w:val="both"/>
              <w:rPr>
                <w:sz w:val="22"/>
                <w:szCs w:val="22"/>
              </w:rPr>
            </w:pPr>
          </w:p>
        </w:tc>
      </w:tr>
      <w:tr w:rsidR="00C868B1" w:rsidRPr="00C868B1" w:rsidTr="002276DD">
        <w:tc>
          <w:tcPr>
            <w:tcW w:w="704" w:type="dxa"/>
          </w:tcPr>
          <w:p w:rsidR="00C868B1" w:rsidRDefault="002276DD" w:rsidP="00C868B1">
            <w:pPr>
              <w:jc w:val="both"/>
              <w:rPr>
                <w:sz w:val="22"/>
                <w:szCs w:val="22"/>
              </w:rPr>
            </w:pPr>
            <w:r>
              <w:rPr>
                <w:sz w:val="22"/>
                <w:szCs w:val="22"/>
              </w:rPr>
              <w:t>2</w:t>
            </w:r>
          </w:p>
        </w:tc>
        <w:tc>
          <w:tcPr>
            <w:tcW w:w="6576" w:type="dxa"/>
          </w:tcPr>
          <w:p w:rsidR="00C868B1" w:rsidRPr="00C868B1" w:rsidRDefault="00BF7733" w:rsidP="00C868B1">
            <w:pPr>
              <w:jc w:val="both"/>
              <w:rPr>
                <w:sz w:val="22"/>
                <w:szCs w:val="22"/>
              </w:rPr>
            </w:pPr>
            <w:r w:rsidRPr="00BF7733">
              <w:rPr>
                <w:sz w:val="22"/>
                <w:szCs w:val="22"/>
              </w:rPr>
              <w:t xml:space="preserve">Формирование общественного мнения об угрозе </w:t>
            </w:r>
            <w:r w:rsidRPr="00BF7733">
              <w:rPr>
                <w:sz w:val="22"/>
                <w:szCs w:val="22"/>
              </w:rPr>
              <w:lastRenderedPageBreak/>
              <w:t xml:space="preserve">употребления </w:t>
            </w:r>
            <w:proofErr w:type="spellStart"/>
            <w:r w:rsidRPr="00BF7733">
              <w:rPr>
                <w:sz w:val="22"/>
                <w:szCs w:val="22"/>
              </w:rPr>
              <w:t>спайсов</w:t>
            </w:r>
            <w:proofErr w:type="spellEnd"/>
            <w:r w:rsidRPr="00BF7733">
              <w:rPr>
                <w:sz w:val="22"/>
                <w:szCs w:val="22"/>
              </w:rPr>
              <w:t xml:space="preserve"> и правовых последствиях</w:t>
            </w:r>
            <w:r>
              <w:t xml:space="preserve"> </w:t>
            </w:r>
            <w:r w:rsidRPr="00BF7733">
              <w:rPr>
                <w:sz w:val="22"/>
                <w:szCs w:val="22"/>
              </w:rPr>
              <w:t>их употребления и распространения при осуществлении профилактической работы на всех уровнях, с использованием средств массовой информации</w:t>
            </w:r>
          </w:p>
        </w:tc>
        <w:tc>
          <w:tcPr>
            <w:tcW w:w="5756" w:type="dxa"/>
          </w:tcPr>
          <w:p w:rsidR="00C868B1" w:rsidRPr="00C868B1" w:rsidRDefault="007220DF" w:rsidP="002276DD">
            <w:pPr>
              <w:jc w:val="both"/>
              <w:rPr>
                <w:sz w:val="22"/>
                <w:szCs w:val="22"/>
              </w:rPr>
            </w:pPr>
            <w:r>
              <w:rPr>
                <w:sz w:val="22"/>
                <w:szCs w:val="22"/>
              </w:rPr>
              <w:lastRenderedPageBreak/>
              <w:t>ежемесячно</w:t>
            </w:r>
          </w:p>
        </w:tc>
        <w:tc>
          <w:tcPr>
            <w:tcW w:w="1524" w:type="dxa"/>
          </w:tcPr>
          <w:p w:rsidR="00C868B1" w:rsidRPr="00C868B1" w:rsidRDefault="00C868B1" w:rsidP="00C868B1">
            <w:pPr>
              <w:jc w:val="both"/>
              <w:rPr>
                <w:sz w:val="22"/>
                <w:szCs w:val="22"/>
              </w:rPr>
            </w:pPr>
          </w:p>
        </w:tc>
      </w:tr>
      <w:tr w:rsidR="0060062D" w:rsidRPr="00C868B1" w:rsidTr="009726CB">
        <w:tc>
          <w:tcPr>
            <w:tcW w:w="14560" w:type="dxa"/>
            <w:gridSpan w:val="4"/>
          </w:tcPr>
          <w:p w:rsidR="0060062D" w:rsidRPr="0060062D" w:rsidRDefault="0060062D" w:rsidP="0060062D">
            <w:pPr>
              <w:jc w:val="center"/>
              <w:rPr>
                <w:b/>
                <w:sz w:val="22"/>
                <w:szCs w:val="22"/>
              </w:rPr>
            </w:pPr>
            <w:r w:rsidRPr="0060062D">
              <w:rPr>
                <w:b/>
                <w:sz w:val="22"/>
                <w:szCs w:val="22"/>
              </w:rPr>
              <w:lastRenderedPageBreak/>
              <w:t>Развитие социальной инфраструктуры, отвечающей за формирование здоровой досуговой среды среди молодежи, обеспечение занятости (организация работы по противодействию фактору, оказывающему влияние на наркотизацию населения «Экономическая нестабильность в регионе и ее влияние на социальные процессы»)</w:t>
            </w:r>
          </w:p>
        </w:tc>
      </w:tr>
      <w:tr w:rsidR="00C868B1" w:rsidRPr="00C868B1" w:rsidTr="002276DD">
        <w:tc>
          <w:tcPr>
            <w:tcW w:w="704" w:type="dxa"/>
          </w:tcPr>
          <w:p w:rsidR="00C868B1" w:rsidRDefault="0060062D" w:rsidP="00C868B1">
            <w:pPr>
              <w:jc w:val="both"/>
              <w:rPr>
                <w:sz w:val="22"/>
                <w:szCs w:val="22"/>
              </w:rPr>
            </w:pPr>
            <w:r>
              <w:rPr>
                <w:sz w:val="22"/>
                <w:szCs w:val="22"/>
              </w:rPr>
              <w:t>1</w:t>
            </w:r>
          </w:p>
        </w:tc>
        <w:tc>
          <w:tcPr>
            <w:tcW w:w="6576" w:type="dxa"/>
          </w:tcPr>
          <w:p w:rsidR="00C868B1" w:rsidRPr="0060062D" w:rsidRDefault="0060062D" w:rsidP="00C868B1">
            <w:pPr>
              <w:jc w:val="both"/>
              <w:rPr>
                <w:sz w:val="22"/>
                <w:szCs w:val="22"/>
              </w:rPr>
            </w:pPr>
            <w:r w:rsidRPr="0060062D">
              <w:rPr>
                <w:rStyle w:val="1"/>
                <w:rFonts w:ascii="Courier New" w:eastAsia="Courier New" w:hAnsi="Courier New" w:cs="Courier New"/>
                <w:sz w:val="22"/>
                <w:szCs w:val="22"/>
              </w:rPr>
              <w:t>Модернизация материально- технической базы, подростковых клубов, спортивных сооружений и иных объектов с целью организации досуговой занятости несовершеннолетних и молодежи</w:t>
            </w:r>
            <w:r w:rsidRPr="0060062D">
              <w:t xml:space="preserve"> </w:t>
            </w:r>
            <w:r w:rsidRPr="0060062D">
              <w:rPr>
                <w:rStyle w:val="1"/>
                <w:rFonts w:ascii="Courier New" w:eastAsia="Courier New" w:hAnsi="Courier New" w:cs="Courier New"/>
                <w:sz w:val="22"/>
                <w:szCs w:val="22"/>
              </w:rPr>
              <w:t>Модернизация материально- технической базы, подростковых клубов, спортивных сооружений и иных объектов с целью организации досуговой занятости несовершеннолетних и молодежи</w:t>
            </w:r>
          </w:p>
        </w:tc>
        <w:tc>
          <w:tcPr>
            <w:tcW w:w="5756" w:type="dxa"/>
          </w:tcPr>
          <w:p w:rsidR="00C868B1" w:rsidRPr="00C868B1" w:rsidRDefault="007220DF" w:rsidP="004C5399">
            <w:pPr>
              <w:jc w:val="both"/>
              <w:rPr>
                <w:sz w:val="22"/>
                <w:szCs w:val="22"/>
              </w:rPr>
            </w:pPr>
            <w:r>
              <w:rPr>
                <w:sz w:val="22"/>
                <w:szCs w:val="22"/>
              </w:rPr>
              <w:t>В течение года</w:t>
            </w:r>
          </w:p>
        </w:tc>
        <w:tc>
          <w:tcPr>
            <w:tcW w:w="1524" w:type="dxa"/>
          </w:tcPr>
          <w:p w:rsidR="00C868B1" w:rsidRPr="00C868B1" w:rsidRDefault="00C868B1" w:rsidP="00C868B1">
            <w:pPr>
              <w:jc w:val="both"/>
              <w:rPr>
                <w:sz w:val="22"/>
                <w:szCs w:val="22"/>
              </w:rPr>
            </w:pPr>
          </w:p>
        </w:tc>
      </w:tr>
      <w:tr w:rsidR="007220DF" w:rsidRPr="00C868B1" w:rsidTr="002276DD">
        <w:tc>
          <w:tcPr>
            <w:tcW w:w="704" w:type="dxa"/>
          </w:tcPr>
          <w:p w:rsidR="007220DF" w:rsidRDefault="007220DF" w:rsidP="00C868B1">
            <w:pPr>
              <w:jc w:val="both"/>
              <w:rPr>
                <w:sz w:val="22"/>
                <w:szCs w:val="22"/>
              </w:rPr>
            </w:pPr>
            <w:r>
              <w:rPr>
                <w:sz w:val="22"/>
                <w:szCs w:val="22"/>
              </w:rPr>
              <w:t>2</w:t>
            </w:r>
          </w:p>
        </w:tc>
        <w:tc>
          <w:tcPr>
            <w:tcW w:w="6576" w:type="dxa"/>
          </w:tcPr>
          <w:p w:rsidR="007220DF" w:rsidRPr="0060062D" w:rsidRDefault="007220DF" w:rsidP="00C868B1">
            <w:pPr>
              <w:jc w:val="both"/>
              <w:rPr>
                <w:rStyle w:val="1"/>
                <w:rFonts w:ascii="Courier New" w:eastAsia="Courier New" w:hAnsi="Courier New" w:cs="Courier New"/>
                <w:sz w:val="22"/>
                <w:szCs w:val="22"/>
              </w:rPr>
            </w:pPr>
            <w:r>
              <w:rPr>
                <w:rStyle w:val="1"/>
                <w:rFonts w:ascii="Courier New" w:eastAsia="Courier New" w:hAnsi="Courier New" w:cs="Courier New"/>
                <w:sz w:val="22"/>
                <w:szCs w:val="22"/>
              </w:rPr>
              <w:t>Организация занятости, отдыха и оздоровлении несовершеннолетних и молодежи</w:t>
            </w:r>
          </w:p>
        </w:tc>
        <w:tc>
          <w:tcPr>
            <w:tcW w:w="5756" w:type="dxa"/>
          </w:tcPr>
          <w:p w:rsidR="007220DF" w:rsidRDefault="007220DF" w:rsidP="004C5399">
            <w:pPr>
              <w:jc w:val="both"/>
              <w:rPr>
                <w:sz w:val="22"/>
                <w:szCs w:val="22"/>
              </w:rPr>
            </w:pPr>
            <w:r>
              <w:rPr>
                <w:sz w:val="22"/>
                <w:szCs w:val="22"/>
              </w:rPr>
              <w:t>В течени</w:t>
            </w:r>
            <w:proofErr w:type="gramStart"/>
            <w:r>
              <w:rPr>
                <w:sz w:val="22"/>
                <w:szCs w:val="22"/>
              </w:rPr>
              <w:t>и</w:t>
            </w:r>
            <w:proofErr w:type="gramEnd"/>
            <w:r>
              <w:rPr>
                <w:sz w:val="22"/>
                <w:szCs w:val="22"/>
              </w:rPr>
              <w:t xml:space="preserve"> года</w:t>
            </w:r>
          </w:p>
        </w:tc>
        <w:tc>
          <w:tcPr>
            <w:tcW w:w="1524" w:type="dxa"/>
          </w:tcPr>
          <w:p w:rsidR="007220DF" w:rsidRPr="00C868B1" w:rsidRDefault="007220DF" w:rsidP="00C868B1">
            <w:pPr>
              <w:jc w:val="both"/>
              <w:rPr>
                <w:sz w:val="22"/>
                <w:szCs w:val="22"/>
              </w:rPr>
            </w:pPr>
          </w:p>
        </w:tc>
      </w:tr>
    </w:tbl>
    <w:p w:rsidR="00C868B1" w:rsidRDefault="00C868B1" w:rsidP="00C868B1">
      <w:pPr>
        <w:jc w:val="both"/>
        <w:rPr>
          <w:sz w:val="22"/>
          <w:szCs w:val="22"/>
        </w:rPr>
      </w:pPr>
    </w:p>
    <w:p w:rsidR="004C5399" w:rsidRDefault="004C5399" w:rsidP="004C5399">
      <w:pPr>
        <w:ind w:firstLine="709"/>
        <w:jc w:val="both"/>
        <w:rPr>
          <w:rFonts w:ascii="Times New Roman" w:eastAsia="Times New Roman" w:hAnsi="Times New Roman" w:cs="Times New Roman"/>
        </w:rPr>
      </w:pPr>
      <w:bookmarkStart w:id="0" w:name="_GoBack"/>
      <w:bookmarkEnd w:id="0"/>
    </w:p>
    <w:p w:rsidR="007220DF" w:rsidRDefault="007220DF" w:rsidP="007220DF">
      <w:pPr>
        <w:jc w:val="both"/>
        <w:rPr>
          <w:rFonts w:ascii="Times New Roman" w:eastAsia="Times New Roman" w:hAnsi="Times New Roman" w:cs="Times New Roman"/>
        </w:rPr>
      </w:pPr>
    </w:p>
    <w:p w:rsidR="007220DF" w:rsidRDefault="007220DF" w:rsidP="004C5399">
      <w:pPr>
        <w:ind w:firstLine="709"/>
        <w:jc w:val="both"/>
        <w:rPr>
          <w:rFonts w:ascii="Times New Roman" w:eastAsia="Times New Roman" w:hAnsi="Times New Roman" w:cs="Times New Roman"/>
        </w:rPr>
      </w:pPr>
    </w:p>
    <w:p w:rsidR="007220DF" w:rsidRDefault="007220DF" w:rsidP="007220DF">
      <w:pPr>
        <w:jc w:val="both"/>
        <w:rPr>
          <w:rFonts w:ascii="Times New Roman" w:eastAsia="Times New Roman" w:hAnsi="Times New Roman" w:cs="Times New Roman"/>
        </w:rPr>
      </w:pPr>
      <w:r>
        <w:rPr>
          <w:rFonts w:ascii="Times New Roman" w:eastAsia="Times New Roman" w:hAnsi="Times New Roman" w:cs="Times New Roman"/>
        </w:rPr>
        <w:t xml:space="preserve">Глава </w:t>
      </w:r>
      <w:proofErr w:type="spellStart"/>
      <w:r>
        <w:rPr>
          <w:rFonts w:ascii="Times New Roman" w:eastAsia="Times New Roman" w:hAnsi="Times New Roman" w:cs="Times New Roman"/>
        </w:rPr>
        <w:t>Шебертинского</w:t>
      </w:r>
      <w:proofErr w:type="spellEnd"/>
    </w:p>
    <w:p w:rsidR="007220DF" w:rsidRDefault="007220DF" w:rsidP="007220DF">
      <w:pPr>
        <w:jc w:val="both"/>
        <w:rPr>
          <w:rFonts w:ascii="Times New Roman" w:eastAsia="Times New Roman" w:hAnsi="Times New Roman" w:cs="Times New Roman"/>
        </w:rPr>
      </w:pPr>
      <w:r>
        <w:rPr>
          <w:rFonts w:ascii="Times New Roman" w:eastAsia="Times New Roman" w:hAnsi="Times New Roman" w:cs="Times New Roman"/>
        </w:rPr>
        <w:t xml:space="preserve">муниципального образования                                         </w:t>
      </w:r>
      <w:proofErr w:type="spellStart"/>
      <w:r>
        <w:rPr>
          <w:rFonts w:ascii="Times New Roman" w:eastAsia="Times New Roman" w:hAnsi="Times New Roman" w:cs="Times New Roman"/>
        </w:rPr>
        <w:t>В.А.Никулина</w:t>
      </w:r>
      <w:proofErr w:type="spellEnd"/>
    </w:p>
    <w:sectPr w:rsidR="007220DF" w:rsidSect="002276DD">
      <w:pgSz w:w="16838" w:h="11906" w:orient="landscape"/>
      <w:pgMar w:top="1135"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05"/>
    <w:rsid w:val="000F2C5D"/>
    <w:rsid w:val="00175B78"/>
    <w:rsid w:val="001D302C"/>
    <w:rsid w:val="0021799A"/>
    <w:rsid w:val="002276DD"/>
    <w:rsid w:val="002B2357"/>
    <w:rsid w:val="00334444"/>
    <w:rsid w:val="003E77AF"/>
    <w:rsid w:val="004C5399"/>
    <w:rsid w:val="00537A8D"/>
    <w:rsid w:val="0060062D"/>
    <w:rsid w:val="006052EC"/>
    <w:rsid w:val="00672C2E"/>
    <w:rsid w:val="00676149"/>
    <w:rsid w:val="007220DF"/>
    <w:rsid w:val="0072688A"/>
    <w:rsid w:val="007C4464"/>
    <w:rsid w:val="00980AA5"/>
    <w:rsid w:val="00BF7733"/>
    <w:rsid w:val="00C16605"/>
    <w:rsid w:val="00C54734"/>
    <w:rsid w:val="00C54FBE"/>
    <w:rsid w:val="00C868B1"/>
    <w:rsid w:val="00CD0038"/>
    <w:rsid w:val="00D074FE"/>
    <w:rsid w:val="00E30F1E"/>
    <w:rsid w:val="00EE6786"/>
    <w:rsid w:val="00F0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8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868B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C868B1"/>
    <w:pPr>
      <w:shd w:val="clear" w:color="auto" w:fill="FFFFFF"/>
      <w:spacing w:line="324" w:lineRule="exact"/>
    </w:pPr>
    <w:rPr>
      <w:rFonts w:ascii="Times New Roman" w:eastAsia="Times New Roman" w:hAnsi="Times New Roman" w:cs="Times New Roman"/>
      <w:color w:val="auto"/>
      <w:sz w:val="26"/>
      <w:szCs w:val="26"/>
      <w:lang w:eastAsia="en-US" w:bidi="ar-SA"/>
    </w:rPr>
  </w:style>
  <w:style w:type="table" w:styleId="a4">
    <w:name w:val="Table Grid"/>
    <w:basedOn w:val="a1"/>
    <w:uiPriority w:val="39"/>
    <w:rsid w:val="00C8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868B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5">
    <w:name w:val="Основной текст + Полужирный"/>
    <w:basedOn w:val="a3"/>
    <w:rsid w:val="00C868B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No Spacing"/>
    <w:uiPriority w:val="1"/>
    <w:qFormat/>
    <w:rsid w:val="00676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8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868B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C868B1"/>
    <w:pPr>
      <w:shd w:val="clear" w:color="auto" w:fill="FFFFFF"/>
      <w:spacing w:line="324" w:lineRule="exact"/>
    </w:pPr>
    <w:rPr>
      <w:rFonts w:ascii="Times New Roman" w:eastAsia="Times New Roman" w:hAnsi="Times New Roman" w:cs="Times New Roman"/>
      <w:color w:val="auto"/>
      <w:sz w:val="26"/>
      <w:szCs w:val="26"/>
      <w:lang w:eastAsia="en-US" w:bidi="ar-SA"/>
    </w:rPr>
  </w:style>
  <w:style w:type="table" w:styleId="a4">
    <w:name w:val="Table Grid"/>
    <w:basedOn w:val="a1"/>
    <w:uiPriority w:val="39"/>
    <w:rsid w:val="00C8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868B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5">
    <w:name w:val="Основной текст + Полужирный"/>
    <w:basedOn w:val="a3"/>
    <w:rsid w:val="00C868B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No Spacing"/>
    <w:uiPriority w:val="1"/>
    <w:qFormat/>
    <w:rsid w:val="00676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Asus</cp:lastModifiedBy>
  <cp:revision>3</cp:revision>
  <cp:lastPrinted>2021-03-02T03:12:00Z</cp:lastPrinted>
  <dcterms:created xsi:type="dcterms:W3CDTF">2021-02-18T10:02:00Z</dcterms:created>
  <dcterms:modified xsi:type="dcterms:W3CDTF">2021-03-02T03:12:00Z</dcterms:modified>
</cp:coreProperties>
</file>